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E4" w:rsidRDefault="008118E4" w:rsidP="008118E4"/>
    <w:p w:rsidR="008118E4" w:rsidRDefault="008118E4" w:rsidP="008118E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8118E4" w:rsidRDefault="008118E4" w:rsidP="008118E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8118E4" w:rsidRDefault="008118E4" w:rsidP="008118E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8118E4" w:rsidRDefault="008118E4" w:rsidP="008118E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8118E4" w:rsidRDefault="008118E4" w:rsidP="008118E4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8118E4" w:rsidRDefault="008118E4" w:rsidP="008118E4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городского округа г. Бор от</w:t>
      </w:r>
      <w:r w:rsidR="00404C44">
        <w:rPr>
          <w:rFonts w:ascii="Times New Roman" w:hAnsi="Times New Roman"/>
          <w:b/>
          <w:color w:val="000000"/>
          <w:sz w:val="24"/>
        </w:rPr>
        <w:t xml:space="preserve"> 01.03.</w:t>
      </w:r>
      <w:r>
        <w:rPr>
          <w:rFonts w:ascii="Times New Roman" w:hAnsi="Times New Roman"/>
          <w:b/>
          <w:color w:val="000000"/>
          <w:sz w:val="24"/>
        </w:rPr>
        <w:t>2016  №</w:t>
      </w:r>
      <w:r w:rsidR="00404C44">
        <w:rPr>
          <w:rFonts w:ascii="Times New Roman" w:hAnsi="Times New Roman"/>
          <w:b/>
          <w:color w:val="000000"/>
          <w:sz w:val="24"/>
        </w:rPr>
        <w:t>884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proofErr w:type="spellStart"/>
      <w:r w:rsidRPr="005775EA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proofErr w:type="spellEnd"/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8118E4" w:rsidRDefault="008118E4" w:rsidP="008118E4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8118E4" w:rsidRDefault="008118E4" w:rsidP="008118E4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07 апреля 2016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8118E4" w:rsidRDefault="008118E4" w:rsidP="008118E4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40"/>
        <w:gridCol w:w="1502"/>
        <w:gridCol w:w="851"/>
        <w:gridCol w:w="993"/>
        <w:gridCol w:w="1276"/>
        <w:gridCol w:w="999"/>
        <w:gridCol w:w="1423"/>
        <w:gridCol w:w="1705"/>
      </w:tblGrid>
      <w:tr w:rsidR="008118E4" w:rsidTr="005B2DF5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  <w:p w:rsidR="008118E4" w:rsidRDefault="008118E4" w:rsidP="005B2D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8118E4" w:rsidTr="005B2DF5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Default="008118E4" w:rsidP="005B2DF5">
            <w:pPr>
              <w:rPr>
                <w:b/>
                <w:sz w:val="16"/>
                <w:szCs w:val="16"/>
              </w:rPr>
            </w:pPr>
          </w:p>
        </w:tc>
      </w:tr>
      <w:tr w:rsidR="008118E4" w:rsidTr="005B2DF5">
        <w:trPr>
          <w:cantSplit/>
          <w:trHeight w:val="22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763DFE" w:rsidRDefault="008118E4" w:rsidP="005B2DF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рп</w:t>
            </w:r>
            <w:proofErr w:type="spellEnd"/>
            <w:r>
              <w:rPr>
                <w:b/>
                <w:sz w:val="18"/>
                <w:szCs w:val="18"/>
              </w:rPr>
              <w:t xml:space="preserve"> Неклюдово, ул. Клубная, д.2в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195,1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8 198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3 050 000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152 500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8118E4" w:rsidRDefault="008118E4" w:rsidP="008118E4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№1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52:19:</w:t>
      </w:r>
      <w:r>
        <w:rPr>
          <w:b/>
          <w:sz w:val="24"/>
          <w:szCs w:val="24"/>
        </w:rPr>
        <w:t>0102017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196</w:t>
      </w:r>
      <w:r w:rsidRPr="003C2ECC">
        <w:rPr>
          <w:b/>
          <w:sz w:val="24"/>
          <w:szCs w:val="24"/>
        </w:rPr>
        <w:t>4 относится к категории земель: земли населенных пунктов, разрешенное использование: под производственны</w:t>
      </w:r>
      <w:r>
        <w:rPr>
          <w:b/>
          <w:sz w:val="24"/>
          <w:szCs w:val="24"/>
        </w:rPr>
        <w:t>е нужды.</w:t>
      </w:r>
      <w:r w:rsidRPr="00477499">
        <w:rPr>
          <w:b/>
          <w:sz w:val="28"/>
          <w:szCs w:val="28"/>
        </w:rPr>
        <w:t xml:space="preserve"> </w:t>
      </w:r>
    </w:p>
    <w:p w:rsidR="008118E4" w:rsidRPr="00477499" w:rsidRDefault="008118E4" w:rsidP="008118E4">
      <w:pPr>
        <w:rPr>
          <w:b/>
          <w:sz w:val="24"/>
          <w:szCs w:val="24"/>
        </w:rPr>
      </w:pPr>
      <w:r w:rsidRPr="00477499">
        <w:rPr>
          <w:b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477499">
        <w:rPr>
          <w:b/>
          <w:sz w:val="24"/>
          <w:szCs w:val="24"/>
        </w:rPr>
        <w:t>кв.м</w:t>
      </w:r>
      <w:proofErr w:type="spellEnd"/>
      <w:r w:rsidRPr="00477499">
        <w:rPr>
          <w:b/>
          <w:sz w:val="24"/>
          <w:szCs w:val="24"/>
        </w:rPr>
        <w:t xml:space="preserve">.)  и в границах </w:t>
      </w:r>
      <w:proofErr w:type="spellStart"/>
      <w:r w:rsidRPr="00477499">
        <w:rPr>
          <w:b/>
          <w:sz w:val="24"/>
          <w:szCs w:val="24"/>
        </w:rPr>
        <w:t>водоохранных</w:t>
      </w:r>
      <w:proofErr w:type="spellEnd"/>
      <w:r w:rsidRPr="00477499">
        <w:rPr>
          <w:b/>
          <w:sz w:val="24"/>
          <w:szCs w:val="24"/>
        </w:rPr>
        <w:t xml:space="preserve"> зон (весь участок);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388"/>
        <w:gridCol w:w="902"/>
        <w:gridCol w:w="1080"/>
        <w:gridCol w:w="1795"/>
        <w:gridCol w:w="1502"/>
        <w:gridCol w:w="851"/>
        <w:gridCol w:w="993"/>
        <w:gridCol w:w="1276"/>
        <w:gridCol w:w="999"/>
        <w:gridCol w:w="1423"/>
        <w:gridCol w:w="1705"/>
      </w:tblGrid>
      <w:tr w:rsidR="008118E4" w:rsidTr="005B2DF5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763DFE" w:rsidRDefault="008118E4" w:rsidP="005B2DF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 и земельный участок, на котором оно расположено по адресу: Нижегородская область, </w:t>
            </w:r>
            <w:proofErr w:type="spellStart"/>
            <w:r>
              <w:rPr>
                <w:b/>
                <w:sz w:val="18"/>
                <w:szCs w:val="18"/>
              </w:rPr>
              <w:t>г</w:t>
            </w:r>
            <w:proofErr w:type="gramStart"/>
            <w:r>
              <w:rPr>
                <w:b/>
                <w:sz w:val="18"/>
                <w:szCs w:val="18"/>
              </w:rPr>
              <w:t>.Б</w:t>
            </w:r>
            <w:proofErr w:type="gramEnd"/>
            <w:r>
              <w:rPr>
                <w:b/>
                <w:sz w:val="18"/>
                <w:szCs w:val="18"/>
              </w:rPr>
              <w:t>ор</w:t>
            </w:r>
            <w:proofErr w:type="spellEnd"/>
            <w:r>
              <w:rPr>
                <w:b/>
                <w:sz w:val="18"/>
                <w:szCs w:val="18"/>
              </w:rPr>
              <w:t xml:space="preserve">, ул. </w:t>
            </w:r>
            <w:proofErr w:type="spellStart"/>
            <w:r>
              <w:rPr>
                <w:b/>
                <w:sz w:val="18"/>
                <w:szCs w:val="18"/>
              </w:rPr>
              <w:t>В.Котика</w:t>
            </w:r>
            <w:proofErr w:type="spellEnd"/>
            <w:r>
              <w:rPr>
                <w:b/>
                <w:sz w:val="18"/>
                <w:szCs w:val="18"/>
              </w:rPr>
              <w:t xml:space="preserve">, д.7, уч.7/1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8118E4" w:rsidRDefault="008118E4" w:rsidP="008118E4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2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52:19:</w:t>
      </w:r>
      <w:r>
        <w:rPr>
          <w:b/>
          <w:sz w:val="24"/>
          <w:szCs w:val="24"/>
        </w:rPr>
        <w:t>0303024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251</w:t>
      </w:r>
      <w:r w:rsidRPr="003C2ECC">
        <w:rPr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</w:t>
      </w:r>
      <w:r>
        <w:rPr>
          <w:b/>
          <w:sz w:val="24"/>
          <w:szCs w:val="24"/>
        </w:rPr>
        <w:t>общественное использование объектов капитального строительства.</w:t>
      </w:r>
      <w:r w:rsidRPr="00477499">
        <w:rPr>
          <w:b/>
          <w:sz w:val="28"/>
          <w:szCs w:val="28"/>
        </w:rPr>
        <w:t xml:space="preserve">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388"/>
        <w:gridCol w:w="902"/>
        <w:gridCol w:w="1080"/>
        <w:gridCol w:w="1795"/>
        <w:gridCol w:w="1502"/>
        <w:gridCol w:w="851"/>
        <w:gridCol w:w="993"/>
        <w:gridCol w:w="1276"/>
        <w:gridCol w:w="999"/>
        <w:gridCol w:w="1423"/>
        <w:gridCol w:w="1705"/>
      </w:tblGrid>
      <w:tr w:rsidR="008118E4" w:rsidTr="005B2DF5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763DFE" w:rsidRDefault="008118E4" w:rsidP="005B2DF5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</w:rPr>
              <w:t>Краснослободский</w:t>
            </w:r>
            <w:proofErr w:type="spellEnd"/>
            <w:r>
              <w:rPr>
                <w:b/>
                <w:sz w:val="18"/>
                <w:szCs w:val="18"/>
              </w:rPr>
              <w:t xml:space="preserve"> с/с, сельский поселок </w:t>
            </w:r>
            <w:proofErr w:type="spellStart"/>
            <w:r>
              <w:rPr>
                <w:b/>
                <w:sz w:val="18"/>
                <w:szCs w:val="18"/>
              </w:rPr>
              <w:t>Керженец</w:t>
            </w:r>
            <w:proofErr w:type="spellEnd"/>
            <w:r>
              <w:rPr>
                <w:b/>
                <w:sz w:val="18"/>
                <w:szCs w:val="18"/>
              </w:rPr>
              <w:t xml:space="preserve">,  </w:t>
            </w:r>
            <w:proofErr w:type="spellStart"/>
            <w:r>
              <w:rPr>
                <w:b/>
                <w:sz w:val="18"/>
                <w:szCs w:val="18"/>
              </w:rPr>
              <w:t>ул</w:t>
            </w:r>
            <w:proofErr w:type="gramStart"/>
            <w:r>
              <w:rPr>
                <w:b/>
                <w:sz w:val="18"/>
                <w:szCs w:val="18"/>
              </w:rPr>
              <w:t>.К</w:t>
            </w:r>
            <w:proofErr w:type="gramEnd"/>
            <w:r>
              <w:rPr>
                <w:b/>
                <w:sz w:val="18"/>
                <w:szCs w:val="18"/>
              </w:rPr>
              <w:t>алинина</w:t>
            </w:r>
            <w:proofErr w:type="spellEnd"/>
            <w:r>
              <w:rPr>
                <w:b/>
                <w:sz w:val="18"/>
                <w:szCs w:val="18"/>
              </w:rPr>
              <w:t xml:space="preserve">, д.14, участок  18/1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Неизв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4" w:rsidRPr="00582965" w:rsidRDefault="008118E4" w:rsidP="005B2D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 не эксплуатируется, свободен от прав третьих лиц.</w:t>
            </w:r>
          </w:p>
        </w:tc>
      </w:tr>
    </w:tbl>
    <w:p w:rsidR="008118E4" w:rsidRDefault="008118E4" w:rsidP="008118E4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3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</w:t>
      </w:r>
      <w:r>
        <w:rPr>
          <w:b/>
          <w:sz w:val="24"/>
          <w:szCs w:val="24"/>
        </w:rPr>
        <w:t>20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0800006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10811</w:t>
      </w:r>
      <w:r w:rsidRPr="003C2ECC">
        <w:rPr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</w:t>
      </w:r>
      <w:r>
        <w:rPr>
          <w:b/>
          <w:sz w:val="24"/>
          <w:szCs w:val="24"/>
        </w:rPr>
        <w:t>общественное использование объектов капитального строительства.</w:t>
      </w:r>
      <w:r w:rsidRPr="00477499">
        <w:rPr>
          <w:b/>
          <w:sz w:val="28"/>
          <w:szCs w:val="28"/>
        </w:rPr>
        <w:t xml:space="preserve"> </w:t>
      </w:r>
    </w:p>
    <w:p w:rsidR="008118E4" w:rsidRPr="003D1F42" w:rsidRDefault="008118E4" w:rsidP="008118E4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8118E4" w:rsidRDefault="008118E4" w:rsidP="008118E4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8118E4" w:rsidRPr="003F63DE" w:rsidRDefault="008118E4" w:rsidP="008118E4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8118E4" w:rsidRPr="00AE5C13" w:rsidRDefault="008118E4" w:rsidP="008118E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118E4" w:rsidRPr="003F63DE" w:rsidRDefault="008118E4" w:rsidP="008118E4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8118E4" w:rsidRDefault="008118E4" w:rsidP="008118E4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8118E4" w:rsidRPr="00BE79E7" w:rsidRDefault="008118E4" w:rsidP="008118E4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8118E4" w:rsidRDefault="008118E4" w:rsidP="008118E4">
      <w:pPr>
        <w:pStyle w:val="2"/>
        <w:ind w:firstLine="0"/>
        <w:jc w:val="left"/>
      </w:pPr>
      <w:r>
        <w:lastRenderedPageBreak/>
        <w:t xml:space="preserve">К участию в аукционе допускаются Претенденты, задатки которых поступили на счет Продавца до 16.00. часов  04.04.2016 года.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8118E4" w:rsidRPr="00D90221" w:rsidRDefault="008118E4" w:rsidP="008118E4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8118E4" w:rsidRDefault="008118E4" w:rsidP="008118E4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8118E4" w:rsidRDefault="008118E4" w:rsidP="008118E4">
      <w:pPr>
        <w:pStyle w:val="a9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8118E4" w:rsidRDefault="008118E4" w:rsidP="008118E4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</w:t>
      </w:r>
      <w:r w:rsidR="00404C44">
        <w:rPr>
          <w:b/>
          <w:sz w:val="24"/>
        </w:rPr>
        <w:t>09</w:t>
      </w:r>
      <w:r>
        <w:rPr>
          <w:b/>
          <w:sz w:val="24"/>
        </w:rPr>
        <w:t xml:space="preserve">.03.2016 года (с 08.00 до 12.00 и с 13.00 до 16.00 часов)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 208. Последний день приема заявок – 04.04.2016 года.</w:t>
      </w:r>
    </w:p>
    <w:p w:rsidR="008118E4" w:rsidRDefault="008118E4" w:rsidP="008118E4">
      <w:pPr>
        <w:pStyle w:val="a9"/>
        <w:ind w:left="0"/>
        <w:jc w:val="both"/>
        <w:rPr>
          <w:b/>
          <w:sz w:val="24"/>
        </w:rPr>
      </w:pPr>
      <w:r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8118E4" w:rsidRPr="003518CF" w:rsidRDefault="008118E4" w:rsidP="008118E4">
      <w:pPr>
        <w:pStyle w:val="20"/>
        <w:ind w:left="284" w:hanging="1"/>
        <w:jc w:val="center"/>
        <w:outlineLvl w:val="0"/>
        <w:rPr>
          <w:b/>
          <w:sz w:val="28"/>
        </w:rPr>
      </w:pPr>
    </w:p>
    <w:p w:rsidR="008118E4" w:rsidRPr="00BE79E7" w:rsidRDefault="008118E4" w:rsidP="008118E4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05.04.2016.</w:t>
      </w:r>
    </w:p>
    <w:p w:rsidR="008118E4" w:rsidRDefault="008118E4" w:rsidP="008118E4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8118E4" w:rsidRDefault="008118E4" w:rsidP="008118E4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05.04.2016.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</w:p>
    <w:p w:rsidR="008118E4" w:rsidRDefault="008118E4" w:rsidP="008118E4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Обязанность доказать свое </w:t>
      </w:r>
    </w:p>
    <w:p w:rsidR="008118E4" w:rsidRPr="00D76AA3" w:rsidRDefault="008118E4" w:rsidP="008118E4">
      <w:pPr>
        <w:pStyle w:val="20"/>
        <w:ind w:left="0" w:firstLine="0"/>
        <w:jc w:val="both"/>
        <w:rPr>
          <w:b/>
          <w:sz w:val="24"/>
          <w:szCs w:val="24"/>
        </w:rPr>
      </w:pPr>
      <w:r w:rsidRPr="00D76AA3">
        <w:rPr>
          <w:b/>
          <w:sz w:val="24"/>
          <w:szCs w:val="24"/>
        </w:rPr>
        <w:t>право на участие в продаже лежит на Претенденте.</w:t>
      </w:r>
    </w:p>
    <w:p w:rsidR="008118E4" w:rsidRPr="00244528" w:rsidRDefault="008118E4" w:rsidP="008118E4">
      <w:pPr>
        <w:pStyle w:val="4"/>
        <w:numPr>
          <w:ilvl w:val="0"/>
          <w:numId w:val="1"/>
        </w:numPr>
        <w:rPr>
          <w:rFonts w:ascii="Times New Roman" w:hAnsi="Times New Roman"/>
          <w:kern w:val="20"/>
          <w:sz w:val="28"/>
        </w:rPr>
      </w:pPr>
      <w:r w:rsidRPr="00244528">
        <w:rPr>
          <w:rFonts w:ascii="Times New Roman" w:hAnsi="Times New Roman"/>
          <w:kern w:val="20"/>
        </w:rPr>
        <w:lastRenderedPageBreak/>
        <w:t>УСЛОВИЯ ПРОДАЖИ МУНИЦИПАЛЬНОГО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ИМУЩЕСТВА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 КРИТЕРИИ ВЫЯВЛЕНИЯ ПОБЕДИТЕЛЯ:</w:t>
      </w:r>
    </w:p>
    <w:p w:rsidR="008118E4" w:rsidRPr="003F63DE" w:rsidRDefault="008118E4" w:rsidP="008118E4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8118E4" w:rsidRPr="003F63DE" w:rsidRDefault="008118E4" w:rsidP="008118E4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:00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07.04.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8118E4" w:rsidRPr="003F63DE" w:rsidRDefault="008118E4" w:rsidP="008118E4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07.04.2016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</w:t>
      </w:r>
      <w:proofErr w:type="spellStart"/>
      <w:r>
        <w:rPr>
          <w:b/>
          <w:kern w:val="20"/>
          <w:sz w:val="24"/>
        </w:rPr>
        <w:t>г</w:t>
      </w:r>
      <w:proofErr w:type="gramStart"/>
      <w:r>
        <w:rPr>
          <w:b/>
          <w:kern w:val="20"/>
          <w:sz w:val="24"/>
        </w:rPr>
        <w:t>.Б</w:t>
      </w:r>
      <w:proofErr w:type="gramEnd"/>
      <w:r>
        <w:rPr>
          <w:b/>
          <w:kern w:val="20"/>
          <w:sz w:val="24"/>
        </w:rPr>
        <w:t>ор</w:t>
      </w:r>
      <w:proofErr w:type="spellEnd"/>
      <w:r>
        <w:rPr>
          <w:b/>
          <w:kern w:val="20"/>
          <w:sz w:val="24"/>
        </w:rPr>
        <w:t xml:space="preserve">, </w:t>
      </w:r>
      <w:proofErr w:type="spellStart"/>
      <w:r>
        <w:rPr>
          <w:b/>
          <w:kern w:val="20"/>
          <w:sz w:val="24"/>
        </w:rPr>
        <w:t>ул.Ленина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8118E4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8118E4" w:rsidRPr="003F63DE" w:rsidRDefault="008118E4" w:rsidP="008118E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8118E4" w:rsidRPr="003F63DE" w:rsidRDefault="008118E4" w:rsidP="008118E4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проведения аукциона.</w:t>
      </w:r>
    </w:p>
    <w:p w:rsidR="008118E4" w:rsidRPr="003F63DE" w:rsidRDefault="008118E4" w:rsidP="008118E4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8118E4" w:rsidRDefault="008118E4" w:rsidP="008118E4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аукциона, с  08.04.2016 по 14.04.2016</w:t>
      </w:r>
      <w:r>
        <w:rPr>
          <w:b/>
          <w:sz w:val="24"/>
          <w:szCs w:val="24"/>
        </w:rPr>
        <w:t>.</w:t>
      </w:r>
    </w:p>
    <w:p w:rsidR="008118E4" w:rsidRPr="003F63DE" w:rsidRDefault="008118E4" w:rsidP="008118E4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При </w:t>
      </w:r>
      <w:r>
        <w:rPr>
          <w:b/>
          <w:kern w:val="20"/>
          <w:sz w:val="24"/>
        </w:rPr>
        <w:t>уклонении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или отказе </w:t>
      </w:r>
      <w:r w:rsidRPr="003F63DE">
        <w:rPr>
          <w:b/>
          <w:kern w:val="20"/>
          <w:sz w:val="24"/>
        </w:rPr>
        <w:t xml:space="preserve">Победителя </w:t>
      </w:r>
      <w:r>
        <w:rPr>
          <w:b/>
          <w:kern w:val="20"/>
          <w:sz w:val="24"/>
        </w:rPr>
        <w:t xml:space="preserve">аукциона </w:t>
      </w:r>
      <w:r w:rsidRPr="003F63DE">
        <w:rPr>
          <w:b/>
          <w:kern w:val="20"/>
          <w:sz w:val="24"/>
        </w:rPr>
        <w:t xml:space="preserve">от </w:t>
      </w:r>
      <w:r>
        <w:rPr>
          <w:b/>
          <w:kern w:val="20"/>
          <w:sz w:val="24"/>
        </w:rPr>
        <w:t>заключения в установленный срок</w:t>
      </w:r>
      <w:r w:rsidRPr="003F63DE">
        <w:rPr>
          <w:b/>
          <w:kern w:val="20"/>
          <w:sz w:val="24"/>
        </w:rPr>
        <w:t xml:space="preserve"> договора купли-продажи</w:t>
      </w:r>
      <w:r>
        <w:rPr>
          <w:b/>
          <w:kern w:val="20"/>
          <w:sz w:val="24"/>
        </w:rPr>
        <w:t xml:space="preserve"> имущества</w:t>
      </w:r>
      <w:r w:rsidRPr="003F63DE">
        <w:rPr>
          <w:b/>
          <w:kern w:val="20"/>
          <w:sz w:val="24"/>
        </w:rPr>
        <w:t xml:space="preserve">   задаток ему  не </w:t>
      </w:r>
      <w:proofErr w:type="gramStart"/>
      <w:r w:rsidRPr="003F63DE">
        <w:rPr>
          <w:b/>
          <w:kern w:val="20"/>
          <w:sz w:val="24"/>
        </w:rPr>
        <w:t>возвращается</w:t>
      </w:r>
      <w:proofErr w:type="gramEnd"/>
      <w:r>
        <w:rPr>
          <w:b/>
          <w:kern w:val="20"/>
          <w:sz w:val="24"/>
        </w:rPr>
        <w:t xml:space="preserve"> и он утрачивает право на заключение указанного договора</w:t>
      </w:r>
      <w:r w:rsidRPr="003F63DE">
        <w:rPr>
          <w:b/>
          <w:kern w:val="20"/>
          <w:sz w:val="24"/>
        </w:rPr>
        <w:t>.</w:t>
      </w:r>
    </w:p>
    <w:p w:rsidR="008118E4" w:rsidRPr="003F63DE" w:rsidRDefault="008118E4" w:rsidP="008118E4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lastRenderedPageBreak/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8118E4" w:rsidRPr="003F63DE" w:rsidRDefault="008118E4" w:rsidP="008118E4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8118E4" w:rsidRPr="003F63DE" w:rsidRDefault="008118E4" w:rsidP="008118E4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8118E4" w:rsidRPr="003F63DE" w:rsidRDefault="008118E4" w:rsidP="008118E4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8118E4" w:rsidRPr="003F63DE" w:rsidRDefault="008118E4" w:rsidP="008118E4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3F63DE">
        <w:rPr>
          <w:b/>
          <w:kern w:val="20"/>
          <w:sz w:val="24"/>
        </w:rPr>
        <w:tab/>
      </w:r>
    </w:p>
    <w:p w:rsidR="008118E4" w:rsidRPr="00A50F5E" w:rsidRDefault="008118E4" w:rsidP="008118E4">
      <w:pPr>
        <w:pStyle w:val="a5"/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="00404C44">
        <w:rPr>
          <w:b/>
          <w:kern w:val="20"/>
          <w:sz w:val="24"/>
        </w:rPr>
        <w:t>09</w:t>
      </w:r>
      <w:bookmarkStart w:id="0" w:name="_GoBack"/>
      <w:bookmarkEnd w:id="0"/>
      <w:r>
        <w:rPr>
          <w:b/>
          <w:kern w:val="20"/>
          <w:sz w:val="24"/>
        </w:rPr>
        <w:t>.03.2016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 не позднее 21.04.2016</w:t>
      </w:r>
    </w:p>
    <w:p w:rsidR="008118E4" w:rsidRDefault="008118E4" w:rsidP="008118E4">
      <w:pPr>
        <w:pStyle w:val="a3"/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8C4253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EE191F" w:rsidRDefault="00EE191F"/>
    <w:sectPr w:rsidR="00EE191F" w:rsidSect="008118E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E4"/>
    <w:rsid w:val="00404C44"/>
    <w:rsid w:val="008118E4"/>
    <w:rsid w:val="00EE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18E4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18E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118E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118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8118E4"/>
    <w:pPr>
      <w:ind w:left="566" w:hanging="283"/>
    </w:pPr>
  </w:style>
  <w:style w:type="paragraph" w:styleId="2">
    <w:name w:val="List Bullet 2"/>
    <w:basedOn w:val="a"/>
    <w:autoRedefine/>
    <w:rsid w:val="008118E4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8118E4"/>
    <w:pPr>
      <w:spacing w:after="120"/>
    </w:pPr>
  </w:style>
  <w:style w:type="character" w:customStyle="1" w:styleId="a6">
    <w:name w:val="Основной текст Знак"/>
    <w:basedOn w:val="a0"/>
    <w:link w:val="a5"/>
    <w:rsid w:val="00811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8118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11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8118E4"/>
    <w:pPr>
      <w:ind w:left="720"/>
    </w:pPr>
  </w:style>
  <w:style w:type="paragraph" w:customStyle="1" w:styleId="ConsNormal">
    <w:name w:val="ConsNormal"/>
    <w:rsid w:val="008118E4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18E4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18E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118E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8118E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8118E4"/>
    <w:pPr>
      <w:ind w:left="566" w:hanging="283"/>
    </w:pPr>
  </w:style>
  <w:style w:type="paragraph" w:styleId="2">
    <w:name w:val="List Bullet 2"/>
    <w:basedOn w:val="a"/>
    <w:autoRedefine/>
    <w:rsid w:val="008118E4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8118E4"/>
    <w:pPr>
      <w:spacing w:after="120"/>
    </w:pPr>
  </w:style>
  <w:style w:type="character" w:customStyle="1" w:styleId="a6">
    <w:name w:val="Основной текст Знак"/>
    <w:basedOn w:val="a0"/>
    <w:link w:val="a5"/>
    <w:rsid w:val="00811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8118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118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8118E4"/>
    <w:pPr>
      <w:ind w:left="720"/>
    </w:pPr>
  </w:style>
  <w:style w:type="paragraph" w:customStyle="1" w:styleId="ConsNormal">
    <w:name w:val="ConsNormal"/>
    <w:rsid w:val="008118E4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2016-02-26T12:45:00Z</dcterms:created>
  <dcterms:modified xsi:type="dcterms:W3CDTF">2016-03-01T06:25:00Z</dcterms:modified>
</cp:coreProperties>
</file>