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4"/>
        </w:rPr>
        <w:t>Зам</w:t>
      </w:r>
      <w:proofErr w:type="gramStart"/>
      <w:r>
        <w:rPr>
          <w:rFonts w:ascii="Times New Roman" w:hAnsi="Times New Roman"/>
          <w:b/>
          <w:color w:val="000000"/>
          <w:sz w:val="24"/>
        </w:rPr>
        <w:t>.д</w:t>
      </w:r>
      <w:proofErr w:type="gramEnd"/>
      <w:r>
        <w:rPr>
          <w:rFonts w:ascii="Times New Roman" w:hAnsi="Times New Roman"/>
          <w:b/>
          <w:color w:val="000000"/>
          <w:sz w:val="24"/>
        </w:rPr>
        <w:t>иректора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департамента  </w:t>
      </w:r>
    </w:p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___________________В.В.ЛЕВАГИН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F71CD0" w:rsidRDefault="00F71CD0" w:rsidP="00F71CD0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F71CD0" w:rsidRDefault="00F71CD0" w:rsidP="00F71CD0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В соответствии с постановлением администрации городского округа г. Бор от </w:t>
      </w:r>
      <w:r w:rsidR="00DB0CE1">
        <w:rPr>
          <w:rFonts w:ascii="Times New Roman" w:hAnsi="Times New Roman"/>
          <w:b/>
          <w:color w:val="000000"/>
          <w:sz w:val="24"/>
        </w:rPr>
        <w:t>04.04.</w:t>
      </w:r>
      <w:r>
        <w:rPr>
          <w:rFonts w:ascii="Times New Roman" w:hAnsi="Times New Roman"/>
          <w:b/>
          <w:color w:val="000000"/>
          <w:sz w:val="24"/>
        </w:rPr>
        <w:t xml:space="preserve">2016  № </w:t>
      </w:r>
      <w:r w:rsidR="00DB0CE1">
        <w:rPr>
          <w:rFonts w:ascii="Times New Roman" w:hAnsi="Times New Roman"/>
          <w:b/>
          <w:color w:val="000000"/>
          <w:sz w:val="24"/>
        </w:rPr>
        <w:t>1495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>городского округа г</w:t>
      </w:r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Бор</w:t>
      </w:r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F71CD0" w:rsidRDefault="00F71CD0" w:rsidP="00F71CD0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F71CD0" w:rsidRDefault="00F71CD0" w:rsidP="00F71CD0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 12 мая 2016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F71CD0" w:rsidRDefault="00F71CD0" w:rsidP="00F71CD0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</w:rPr>
        <w:t>ПЕРЕЧЕНЬ  ЛОТОВ</w:t>
      </w:r>
    </w:p>
    <w:p w:rsidR="00F71CD0" w:rsidRPr="009E329F" w:rsidRDefault="00F71CD0" w:rsidP="00F71CD0">
      <w:pPr>
        <w:pStyle w:val="a5"/>
        <w:jc w:val="both"/>
        <w:rPr>
          <w:b/>
          <w:sz w:val="24"/>
          <w:u w:val="single"/>
        </w:rPr>
      </w:pPr>
      <w:r w:rsidRPr="009E329F">
        <w:rPr>
          <w:b/>
          <w:sz w:val="24"/>
          <w:u w:val="single"/>
        </w:rPr>
        <w:t>Лот №</w:t>
      </w:r>
      <w:r>
        <w:rPr>
          <w:b/>
          <w:sz w:val="24"/>
          <w:u w:val="single"/>
        </w:rPr>
        <w:t>1</w:t>
      </w:r>
    </w:p>
    <w:p w:rsidR="00F71CD0" w:rsidRDefault="00F71CD0" w:rsidP="00F71CD0">
      <w:pPr>
        <w:pStyle w:val="a5"/>
        <w:jc w:val="both"/>
        <w:rPr>
          <w:b/>
          <w:sz w:val="24"/>
        </w:rPr>
      </w:pPr>
      <w:r>
        <w:rPr>
          <w:b/>
          <w:sz w:val="24"/>
        </w:rPr>
        <w:t>Описание предмета торгов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16"/>
        <w:gridCol w:w="1696"/>
        <w:gridCol w:w="2377"/>
        <w:gridCol w:w="2210"/>
        <w:gridCol w:w="1151"/>
        <w:gridCol w:w="1298"/>
        <w:gridCol w:w="2251"/>
      </w:tblGrid>
      <w:tr w:rsidR="00F71CD0" w:rsidRPr="00820E78" w:rsidTr="003C4EEB">
        <w:trPr>
          <w:trHeight w:val="203"/>
        </w:trPr>
        <w:tc>
          <w:tcPr>
            <w:tcW w:w="1951" w:type="dxa"/>
            <w:vMerge w:val="restart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Наименование ОАО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 xml:space="preserve">Уставный капитал </w:t>
            </w:r>
          </w:p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Руб.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Общее количество выпущенных акций, шт.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Категория выпущенных акций согласно учредительным документам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Номинальная стоимость одной акции, руб.</w:t>
            </w:r>
          </w:p>
        </w:tc>
        <w:tc>
          <w:tcPr>
            <w:tcW w:w="4700" w:type="dxa"/>
            <w:gridSpan w:val="3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Выставляется на продажу пакет</w:t>
            </w:r>
          </w:p>
        </w:tc>
      </w:tr>
      <w:tr w:rsidR="00F71CD0" w:rsidRPr="00820E78" w:rsidTr="003C4EEB">
        <w:trPr>
          <w:trHeight w:val="202"/>
        </w:trPr>
        <w:tc>
          <w:tcPr>
            <w:tcW w:w="1951" w:type="dxa"/>
            <w:vMerge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1151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Кол-во акций, шт.</w:t>
            </w:r>
          </w:p>
        </w:tc>
        <w:tc>
          <w:tcPr>
            <w:tcW w:w="1298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% уставного капитала</w:t>
            </w:r>
          </w:p>
        </w:tc>
        <w:tc>
          <w:tcPr>
            <w:tcW w:w="2251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Категория акций</w:t>
            </w:r>
          </w:p>
        </w:tc>
      </w:tr>
      <w:tr w:rsidR="00F71CD0" w:rsidRPr="00820E78" w:rsidTr="003C4EEB">
        <w:tc>
          <w:tcPr>
            <w:tcW w:w="1951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АО «</w:t>
            </w:r>
            <w:r>
              <w:rPr>
                <w:b/>
              </w:rPr>
              <w:t>Нижегородские канатные дороги</w:t>
            </w:r>
            <w:r w:rsidRPr="00820E78">
              <w:rPr>
                <w:b/>
              </w:rPr>
              <w:t xml:space="preserve"> »</w:t>
            </w:r>
          </w:p>
        </w:tc>
        <w:tc>
          <w:tcPr>
            <w:tcW w:w="1916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493 580</w:t>
            </w:r>
            <w:r w:rsidRPr="00820E78">
              <w:rPr>
                <w:b/>
              </w:rPr>
              <w:t xml:space="preserve"> 000</w:t>
            </w:r>
          </w:p>
        </w:tc>
        <w:tc>
          <w:tcPr>
            <w:tcW w:w="1696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493 580</w:t>
            </w:r>
          </w:p>
        </w:tc>
        <w:tc>
          <w:tcPr>
            <w:tcW w:w="2377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Обыкновенные именные бездокументарные</w:t>
            </w:r>
          </w:p>
        </w:tc>
        <w:tc>
          <w:tcPr>
            <w:tcW w:w="2210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1000</w:t>
            </w:r>
          </w:p>
        </w:tc>
        <w:tc>
          <w:tcPr>
            <w:tcW w:w="1151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98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0,608% (0,06% от общего</w:t>
            </w:r>
            <w:r w:rsidR="00F10352">
              <w:rPr>
                <w:b/>
              </w:rPr>
              <w:t xml:space="preserve"> </w:t>
            </w:r>
            <w:r>
              <w:rPr>
                <w:b/>
              </w:rPr>
              <w:t>числа акций)</w:t>
            </w:r>
          </w:p>
        </w:tc>
        <w:tc>
          <w:tcPr>
            <w:tcW w:w="2251" w:type="dxa"/>
            <w:shd w:val="clear" w:color="auto" w:fill="auto"/>
          </w:tcPr>
          <w:p w:rsidR="00F71CD0" w:rsidRPr="00820E78" w:rsidRDefault="00F71CD0" w:rsidP="003C4EEB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Обыкновенные именные бездокументарные</w:t>
            </w:r>
          </w:p>
        </w:tc>
      </w:tr>
    </w:tbl>
    <w:p w:rsidR="00F71CD0" w:rsidRDefault="00F71CD0" w:rsidP="00F71CD0">
      <w:pPr>
        <w:pStyle w:val="a5"/>
        <w:jc w:val="center"/>
        <w:rPr>
          <w:b/>
          <w:sz w:val="24"/>
        </w:rPr>
      </w:pPr>
      <w:r>
        <w:rPr>
          <w:b/>
          <w:sz w:val="24"/>
        </w:rPr>
        <w:t>Информация о предприятии: АО «Нижегородские канатные дороги»</w:t>
      </w:r>
    </w:p>
    <w:p w:rsidR="00F71CD0" w:rsidRDefault="00F71CD0" w:rsidP="00F71CD0">
      <w:pPr>
        <w:pStyle w:val="a5"/>
        <w:rPr>
          <w:b/>
          <w:sz w:val="24"/>
        </w:rPr>
      </w:pPr>
      <w:r>
        <w:rPr>
          <w:b/>
          <w:sz w:val="24"/>
        </w:rPr>
        <w:t xml:space="preserve">1. Местонахождение: 603005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.Н</w:t>
      </w:r>
      <w:proofErr w:type="gramEnd"/>
      <w:r>
        <w:rPr>
          <w:b/>
          <w:sz w:val="24"/>
        </w:rPr>
        <w:t>ижний</w:t>
      </w:r>
      <w:proofErr w:type="spellEnd"/>
      <w:r>
        <w:rPr>
          <w:b/>
          <w:sz w:val="24"/>
        </w:rPr>
        <w:t xml:space="preserve"> Новгород, </w:t>
      </w:r>
      <w:proofErr w:type="spellStart"/>
      <w:r>
        <w:rPr>
          <w:b/>
          <w:sz w:val="24"/>
        </w:rPr>
        <w:t>ул.Нестерова</w:t>
      </w:r>
      <w:proofErr w:type="spellEnd"/>
      <w:r>
        <w:rPr>
          <w:b/>
          <w:sz w:val="24"/>
        </w:rPr>
        <w:t>, д.33;</w:t>
      </w:r>
    </w:p>
    <w:p w:rsidR="00F71CD0" w:rsidRDefault="00F71CD0" w:rsidP="00F71CD0">
      <w:pPr>
        <w:pStyle w:val="a5"/>
        <w:rPr>
          <w:b/>
          <w:sz w:val="24"/>
        </w:rPr>
      </w:pPr>
      <w:r>
        <w:rPr>
          <w:b/>
          <w:sz w:val="24"/>
        </w:rPr>
        <w:t>2. Почтовый адрес:</w:t>
      </w:r>
      <w:r w:rsidRPr="00F52F43">
        <w:rPr>
          <w:b/>
          <w:sz w:val="24"/>
        </w:rPr>
        <w:t xml:space="preserve"> </w:t>
      </w:r>
      <w:r>
        <w:rPr>
          <w:b/>
          <w:sz w:val="24"/>
        </w:rPr>
        <w:t xml:space="preserve">603005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.Н</w:t>
      </w:r>
      <w:proofErr w:type="gramEnd"/>
      <w:r>
        <w:rPr>
          <w:b/>
          <w:sz w:val="24"/>
        </w:rPr>
        <w:t>ижний</w:t>
      </w:r>
      <w:proofErr w:type="spellEnd"/>
      <w:r>
        <w:rPr>
          <w:b/>
          <w:sz w:val="24"/>
        </w:rPr>
        <w:t xml:space="preserve"> Новгород, </w:t>
      </w:r>
      <w:proofErr w:type="spellStart"/>
      <w:r>
        <w:rPr>
          <w:b/>
          <w:sz w:val="24"/>
        </w:rPr>
        <w:t>ул.Нестерова</w:t>
      </w:r>
      <w:proofErr w:type="spellEnd"/>
      <w:r>
        <w:rPr>
          <w:b/>
          <w:sz w:val="24"/>
        </w:rPr>
        <w:t>, д.33;</w:t>
      </w:r>
    </w:p>
    <w:p w:rsidR="00F71CD0" w:rsidRPr="00A21B18" w:rsidRDefault="00F71CD0" w:rsidP="00F71CD0">
      <w:pPr>
        <w:shd w:val="clear" w:color="auto" w:fill="FFFFFF"/>
        <w:jc w:val="both"/>
        <w:rPr>
          <w:b/>
          <w:sz w:val="24"/>
          <w:szCs w:val="24"/>
        </w:rPr>
      </w:pPr>
      <w:r w:rsidRPr="002F0DBB">
        <w:rPr>
          <w:b/>
          <w:sz w:val="24"/>
          <w:szCs w:val="24"/>
        </w:rPr>
        <w:t xml:space="preserve">3. Основные виды деятельности: </w:t>
      </w:r>
      <w:r w:rsidRPr="00A21B18">
        <w:rPr>
          <w:b/>
          <w:sz w:val="24"/>
          <w:szCs w:val="24"/>
        </w:rPr>
        <w:t>пассажирские перевозки фуникулерами, воздушными канатными дорогами и подъемниками.</w:t>
      </w:r>
    </w:p>
    <w:p w:rsidR="00F71CD0" w:rsidRPr="00A21B18" w:rsidRDefault="00F71CD0" w:rsidP="00F71CD0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A21B18">
        <w:rPr>
          <w:b/>
          <w:sz w:val="24"/>
          <w:szCs w:val="24"/>
        </w:rPr>
        <w:t xml:space="preserve">Среднесписочная численность </w:t>
      </w:r>
      <w:proofErr w:type="gramStart"/>
      <w:r w:rsidRPr="00A21B18">
        <w:rPr>
          <w:b/>
          <w:sz w:val="24"/>
          <w:szCs w:val="24"/>
        </w:rPr>
        <w:t>работающих</w:t>
      </w:r>
      <w:proofErr w:type="gramEnd"/>
      <w:r w:rsidRPr="00A21B18">
        <w:rPr>
          <w:b/>
          <w:sz w:val="24"/>
          <w:szCs w:val="24"/>
        </w:rPr>
        <w:t xml:space="preserve"> на 01.07.2015 – 43 человека.</w:t>
      </w:r>
    </w:p>
    <w:p w:rsidR="00F71CD0" w:rsidRPr="00A21B18" w:rsidRDefault="00F71CD0" w:rsidP="00F71CD0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A21B18">
        <w:rPr>
          <w:rFonts w:ascii="Times New Roman" w:hAnsi="Times New Roman"/>
          <w:b/>
          <w:sz w:val="24"/>
          <w:szCs w:val="24"/>
        </w:rPr>
        <w:t xml:space="preserve">Стоимость основных средств на 01.10.2015 составляет 990 093 000 руб. </w:t>
      </w:r>
    </w:p>
    <w:p w:rsidR="00F71CD0" w:rsidRPr="00A21B18" w:rsidRDefault="00F71CD0" w:rsidP="00F71CD0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8D4CBC">
        <w:rPr>
          <w:rFonts w:ascii="Times New Roman" w:hAnsi="Times New Roman"/>
          <w:b/>
          <w:sz w:val="24"/>
          <w:szCs w:val="24"/>
        </w:rPr>
        <w:t>Доля на рынке услуг пассажирски</w:t>
      </w:r>
      <w:r>
        <w:rPr>
          <w:rFonts w:ascii="Times New Roman" w:hAnsi="Times New Roman"/>
          <w:b/>
          <w:sz w:val="24"/>
          <w:szCs w:val="24"/>
        </w:rPr>
        <w:t>х</w:t>
      </w:r>
      <w:r w:rsidRPr="008D4CBC">
        <w:rPr>
          <w:rFonts w:ascii="Times New Roman" w:hAnsi="Times New Roman"/>
          <w:b/>
          <w:sz w:val="24"/>
          <w:szCs w:val="24"/>
        </w:rPr>
        <w:t xml:space="preserve"> перевоз</w:t>
      </w:r>
      <w:r>
        <w:rPr>
          <w:rFonts w:ascii="Times New Roman" w:hAnsi="Times New Roman"/>
          <w:b/>
          <w:sz w:val="24"/>
          <w:szCs w:val="24"/>
        </w:rPr>
        <w:t>о</w:t>
      </w:r>
      <w:r w:rsidRPr="008D4CBC">
        <w:rPr>
          <w:rFonts w:ascii="Times New Roman" w:hAnsi="Times New Roman"/>
          <w:b/>
          <w:sz w:val="24"/>
          <w:szCs w:val="24"/>
        </w:rPr>
        <w:t>к фуникулерами, воздушными канатными дорогами и подъемниками, включенн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8D4CBC">
        <w:rPr>
          <w:rFonts w:ascii="Times New Roman" w:hAnsi="Times New Roman"/>
          <w:b/>
          <w:sz w:val="24"/>
          <w:szCs w:val="24"/>
        </w:rPr>
        <w:t xml:space="preserve"> в Реестр хозяйствующих</w:t>
      </w:r>
      <w:r w:rsidRPr="00A21B18">
        <w:rPr>
          <w:rFonts w:ascii="Times New Roman" w:hAnsi="Times New Roman"/>
          <w:b/>
          <w:sz w:val="24"/>
          <w:szCs w:val="24"/>
        </w:rPr>
        <w:t xml:space="preserve"> субъектов, имеющих долю на рынке определенного товара в размере более чем 35 процентов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A21B18">
        <w:rPr>
          <w:rFonts w:ascii="Times New Roman" w:hAnsi="Times New Roman"/>
          <w:b/>
          <w:sz w:val="24"/>
          <w:szCs w:val="24"/>
        </w:rPr>
        <w:t>0% по состоянию на 01.</w:t>
      </w:r>
      <w:r>
        <w:rPr>
          <w:rFonts w:ascii="Times New Roman" w:hAnsi="Times New Roman"/>
          <w:b/>
          <w:sz w:val="24"/>
          <w:szCs w:val="24"/>
        </w:rPr>
        <w:t>10</w:t>
      </w:r>
      <w:r w:rsidRPr="00A21B18">
        <w:rPr>
          <w:rFonts w:ascii="Times New Roman" w:hAnsi="Times New Roman"/>
          <w:b/>
          <w:sz w:val="24"/>
          <w:szCs w:val="24"/>
        </w:rPr>
        <w:t>.2015.</w:t>
      </w:r>
    </w:p>
    <w:p w:rsidR="00F71CD0" w:rsidRDefault="00F71CD0" w:rsidP="00F71CD0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Адрес сайта в сети «Интернет», на котором размещена годовая бухгалтерская отчетность: </w:t>
      </w:r>
      <w:r w:rsidRPr="00B20979">
        <w:rPr>
          <w:b/>
          <w:sz w:val="24"/>
          <w:szCs w:val="24"/>
        </w:rPr>
        <w:t>http://e-disclosure.ru/</w:t>
      </w:r>
    </w:p>
    <w:p w:rsidR="00F71CD0" w:rsidRDefault="00F71CD0" w:rsidP="00F71C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71CD0" w:rsidRPr="006A0A88" w:rsidRDefault="00F71CD0" w:rsidP="00F71C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145"/>
        <w:gridCol w:w="5954"/>
        <w:gridCol w:w="2108"/>
      </w:tblGrid>
      <w:tr w:rsidR="00F71CD0" w:rsidTr="003C4EE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Актив на 01.10.2015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Пассив на 01.10.2015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</w:p>
        </w:tc>
      </w:tr>
      <w:tr w:rsidR="00F71CD0" w:rsidTr="003C4EE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</w:pPr>
            <w:proofErr w:type="spellStart"/>
            <w:r>
              <w:t>Внеоборотные</w:t>
            </w:r>
            <w:proofErr w:type="spellEnd"/>
            <w:r>
              <w:t xml:space="preserve"> активы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990 098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both"/>
            </w:pPr>
            <w:r>
              <w:t>Капитал и резервы,</w:t>
            </w:r>
          </w:p>
          <w:p w:rsidR="00F71CD0" w:rsidRDefault="00F71CD0" w:rsidP="003C4EEB">
            <w:pPr>
              <w:pStyle w:val="a5"/>
              <w:jc w:val="both"/>
            </w:pPr>
            <w:r>
              <w:t xml:space="preserve">В том числе: </w:t>
            </w:r>
          </w:p>
          <w:p w:rsidR="00F71CD0" w:rsidRDefault="00F71CD0" w:rsidP="003C4EEB">
            <w:pPr>
              <w:pStyle w:val="a5"/>
              <w:jc w:val="both"/>
            </w:pPr>
            <w:r>
              <w:t>Уставный капитал</w:t>
            </w:r>
          </w:p>
          <w:p w:rsidR="00F71CD0" w:rsidRDefault="00F71CD0" w:rsidP="003C4EEB">
            <w:pPr>
              <w:pStyle w:val="a5"/>
              <w:jc w:val="both"/>
            </w:pPr>
            <w:r>
              <w:t>Резервный капитал</w:t>
            </w:r>
          </w:p>
          <w:p w:rsidR="00F71CD0" w:rsidRDefault="00F71CD0" w:rsidP="003C4EEB">
            <w:pPr>
              <w:pStyle w:val="a5"/>
              <w:jc w:val="both"/>
            </w:pPr>
            <w:r>
              <w:t>Добавочный капитал</w:t>
            </w:r>
          </w:p>
          <w:p w:rsidR="00F71CD0" w:rsidRDefault="00F71CD0" w:rsidP="003C4EEB">
            <w:pPr>
              <w:pStyle w:val="a5"/>
              <w:jc w:val="both"/>
            </w:pPr>
            <w:r>
              <w:t xml:space="preserve">Переоценка </w:t>
            </w:r>
            <w:proofErr w:type="spellStart"/>
            <w:r>
              <w:t>внеоборотных</w:t>
            </w:r>
            <w:proofErr w:type="spellEnd"/>
            <w:r>
              <w:t xml:space="preserve"> активов</w:t>
            </w:r>
          </w:p>
          <w:p w:rsidR="00F71CD0" w:rsidRDefault="00F71CD0" w:rsidP="003C4EEB">
            <w:pPr>
              <w:pStyle w:val="a5"/>
              <w:jc w:val="both"/>
            </w:pPr>
            <w:r>
              <w:t>Убыток</w:t>
            </w:r>
          </w:p>
          <w:p w:rsidR="00F71CD0" w:rsidRDefault="00F71CD0" w:rsidP="003C4EEB">
            <w:pPr>
              <w:pStyle w:val="a5"/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659 767</w:t>
            </w:r>
          </w:p>
          <w:p w:rsidR="00F71CD0" w:rsidRPr="006324D1" w:rsidRDefault="00F71CD0" w:rsidP="003C4EEB"/>
          <w:p w:rsidR="00F71CD0" w:rsidRDefault="00F71CD0" w:rsidP="003C4EEB"/>
          <w:p w:rsidR="00F71CD0" w:rsidRDefault="00F71CD0" w:rsidP="003C4EEB">
            <w:pPr>
              <w:jc w:val="center"/>
            </w:pPr>
            <w:r>
              <w:t>493 580</w:t>
            </w:r>
          </w:p>
          <w:p w:rsidR="00F71CD0" w:rsidRDefault="00F71CD0" w:rsidP="003C4EEB"/>
          <w:p w:rsidR="00F71CD0" w:rsidRDefault="00F71CD0" w:rsidP="003C4EEB">
            <w:pPr>
              <w:jc w:val="center"/>
            </w:pPr>
            <w:r>
              <w:t>692</w:t>
            </w:r>
          </w:p>
          <w:p w:rsidR="00F71CD0" w:rsidRPr="006324D1" w:rsidRDefault="00F71CD0" w:rsidP="003C4EEB"/>
          <w:p w:rsidR="00F71CD0" w:rsidRDefault="00F71CD0" w:rsidP="003C4EEB"/>
          <w:p w:rsidR="00F71CD0" w:rsidRDefault="00F71CD0" w:rsidP="003C4EEB">
            <w:pPr>
              <w:jc w:val="center"/>
            </w:pPr>
            <w:r>
              <w:t>174 228</w:t>
            </w:r>
          </w:p>
          <w:p w:rsidR="00F71CD0" w:rsidRDefault="00F71CD0" w:rsidP="003C4EEB">
            <w:pPr>
              <w:jc w:val="center"/>
            </w:pPr>
          </w:p>
          <w:p w:rsidR="00F71CD0" w:rsidRPr="006324D1" w:rsidRDefault="00F71CD0" w:rsidP="003C4EEB">
            <w:pPr>
              <w:jc w:val="center"/>
            </w:pPr>
            <w:r>
              <w:t>(8 733)</w:t>
            </w:r>
          </w:p>
        </w:tc>
      </w:tr>
      <w:tr w:rsidR="00F71CD0" w:rsidTr="003C4EE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</w:pPr>
            <w:r>
              <w:t>Оборотные активы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39 924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</w:pPr>
            <w:r>
              <w:t>Долгосрочные обязательства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357 691</w:t>
            </w:r>
          </w:p>
        </w:tc>
      </w:tr>
      <w:tr w:rsidR="00F71CD0" w:rsidTr="003C4EE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</w:pPr>
            <w:r>
              <w:t>Краткосрочные обязательства,</w:t>
            </w:r>
          </w:p>
          <w:p w:rsidR="00F71CD0" w:rsidRDefault="00F71CD0" w:rsidP="003C4EEB">
            <w:pPr>
              <w:pStyle w:val="a5"/>
              <w:jc w:val="both"/>
            </w:pPr>
            <w:r>
              <w:t>В том числе:</w:t>
            </w:r>
          </w:p>
          <w:p w:rsidR="00F71CD0" w:rsidRDefault="00F71CD0" w:rsidP="003C4EEB">
            <w:pPr>
              <w:pStyle w:val="a5"/>
              <w:jc w:val="both"/>
            </w:pPr>
            <w:r>
              <w:t>Кредиторская  задолженность</w:t>
            </w:r>
          </w:p>
          <w:p w:rsidR="00F71CD0" w:rsidRDefault="00F71CD0" w:rsidP="003C4EEB">
            <w:pPr>
              <w:pStyle w:val="a5"/>
              <w:jc w:val="both"/>
            </w:pPr>
            <w:r>
              <w:t>Резервы предстоящих расходов</w:t>
            </w:r>
          </w:p>
          <w:p w:rsidR="00F71CD0" w:rsidRDefault="00F71CD0" w:rsidP="003C4EEB">
            <w:pPr>
              <w:pStyle w:val="a5"/>
              <w:jc w:val="both"/>
            </w:pPr>
            <w:r>
              <w:t>Заемные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12 564</w:t>
            </w:r>
          </w:p>
          <w:p w:rsidR="00F71CD0" w:rsidRDefault="00F71CD0" w:rsidP="003C4EEB"/>
          <w:p w:rsidR="00F71CD0" w:rsidRDefault="00F71CD0" w:rsidP="003C4EEB"/>
          <w:p w:rsidR="00F71CD0" w:rsidRPr="006324D1" w:rsidRDefault="00F71CD0" w:rsidP="003C4EEB">
            <w:pPr>
              <w:jc w:val="center"/>
            </w:pPr>
            <w:r>
              <w:t>12 564</w:t>
            </w:r>
          </w:p>
        </w:tc>
      </w:tr>
      <w:tr w:rsidR="00F71CD0" w:rsidTr="003C4EE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Баланс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1 030 022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0" w:rsidRDefault="00F71CD0" w:rsidP="003C4EE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Баланс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0" w:rsidRDefault="00F71CD0" w:rsidP="003C4E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1 030 022</w:t>
            </w:r>
          </w:p>
        </w:tc>
      </w:tr>
    </w:tbl>
    <w:p w:rsidR="00F71CD0" w:rsidRDefault="00F71CD0" w:rsidP="00F71CD0"/>
    <w:p w:rsidR="00F71CD0" w:rsidRPr="0079567C" w:rsidRDefault="00F71CD0" w:rsidP="00F71CD0">
      <w:pPr>
        <w:pStyle w:val="a5"/>
        <w:jc w:val="both"/>
        <w:rPr>
          <w:b/>
          <w:sz w:val="24"/>
          <w:szCs w:val="24"/>
        </w:rPr>
      </w:pPr>
      <w:r w:rsidRPr="0079567C">
        <w:rPr>
          <w:b/>
          <w:sz w:val="24"/>
          <w:szCs w:val="24"/>
        </w:rPr>
        <w:t xml:space="preserve">Начальная цена пакета акций – </w:t>
      </w:r>
      <w:r>
        <w:rPr>
          <w:b/>
          <w:sz w:val="24"/>
          <w:szCs w:val="24"/>
        </w:rPr>
        <w:t>300</w:t>
      </w:r>
      <w:r w:rsidRPr="0079567C">
        <w:rPr>
          <w:b/>
          <w:sz w:val="24"/>
          <w:szCs w:val="24"/>
        </w:rPr>
        <w:t xml:space="preserve"> 000 (</w:t>
      </w:r>
      <w:r>
        <w:rPr>
          <w:b/>
          <w:sz w:val="24"/>
          <w:szCs w:val="24"/>
        </w:rPr>
        <w:t>Триста  тысяч)</w:t>
      </w:r>
      <w:r w:rsidRPr="0079567C">
        <w:rPr>
          <w:b/>
          <w:sz w:val="24"/>
          <w:szCs w:val="24"/>
        </w:rPr>
        <w:t xml:space="preserve">  рублей.</w:t>
      </w:r>
    </w:p>
    <w:p w:rsidR="00F71CD0" w:rsidRDefault="00F71CD0" w:rsidP="00F71CD0">
      <w:pPr>
        <w:pStyle w:val="a5"/>
        <w:rPr>
          <w:b/>
          <w:sz w:val="24"/>
        </w:rPr>
      </w:pPr>
      <w:r>
        <w:rPr>
          <w:b/>
          <w:sz w:val="24"/>
        </w:rPr>
        <w:t>Сумма задатка (20%) – 60 000 рублей.</w:t>
      </w:r>
    </w:p>
    <w:p w:rsidR="00F71CD0" w:rsidRDefault="00F71CD0" w:rsidP="00F71CD0">
      <w:pPr>
        <w:pStyle w:val="a5"/>
        <w:rPr>
          <w:b/>
          <w:sz w:val="24"/>
        </w:rPr>
      </w:pPr>
      <w:r>
        <w:rPr>
          <w:b/>
          <w:sz w:val="24"/>
        </w:rPr>
        <w:t>Шаг аукциона (5%) – 15 000 руб.</w:t>
      </w:r>
    </w:p>
    <w:p w:rsidR="00F71CD0" w:rsidRPr="003D1F42" w:rsidRDefault="00F71CD0" w:rsidP="00F71CD0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F71CD0" w:rsidRDefault="00F71CD0" w:rsidP="00F71CD0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F71CD0" w:rsidRPr="003F63DE" w:rsidRDefault="00F71CD0" w:rsidP="00F71CD0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 xml:space="preserve">документ, который подтверждает полномочия руководителя юридического лица на осуществление действий от имени </w:t>
      </w:r>
      <w:r w:rsidRPr="00AE5C13">
        <w:rPr>
          <w:b/>
          <w:sz w:val="24"/>
          <w:szCs w:val="24"/>
        </w:rPr>
        <w:lastRenderedPageBreak/>
        <w:t>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F71CD0" w:rsidRPr="00AE5C13" w:rsidRDefault="00F71CD0" w:rsidP="00F71CD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F71CD0" w:rsidRPr="003F63DE" w:rsidRDefault="00F71CD0" w:rsidP="00F71CD0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F71CD0" w:rsidRDefault="00F71CD0" w:rsidP="00F71CD0">
      <w:pPr>
        <w:pStyle w:val="a7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F71CD0" w:rsidRPr="00BE79E7" w:rsidRDefault="00F71CD0" w:rsidP="00F71CD0">
      <w:pPr>
        <w:pStyle w:val="a7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F71CD0" w:rsidRDefault="00F71CD0" w:rsidP="00F71CD0">
      <w:pPr>
        <w:pStyle w:val="2"/>
        <w:ind w:firstLine="0"/>
        <w:jc w:val="left"/>
      </w:pPr>
      <w:r>
        <w:t xml:space="preserve">К участию в аукционе допускаются Претенденты, задатки которых поступили на счет Продавца до 16.00. часов  05.05.2016.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F71CD0" w:rsidRPr="00D90221" w:rsidRDefault="00F71CD0" w:rsidP="00F71CD0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F71CD0" w:rsidRDefault="00F71CD0" w:rsidP="00F71CD0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F71CD0" w:rsidRDefault="00F71CD0" w:rsidP="00F71CD0">
      <w:pPr>
        <w:pStyle w:val="a7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F71CD0" w:rsidRDefault="00F71CD0" w:rsidP="00F71CD0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07.04.2016 года (с 08.00 до 12.00 и с 13.00 до 16.00 часов)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 208. Последний день приема заявок – 05.05.2016 года.</w:t>
      </w:r>
    </w:p>
    <w:p w:rsidR="00F71CD0" w:rsidRDefault="00F71CD0" w:rsidP="00F71CD0">
      <w:pPr>
        <w:pStyle w:val="a7"/>
        <w:ind w:left="0"/>
        <w:jc w:val="both"/>
        <w:rPr>
          <w:b/>
          <w:sz w:val="24"/>
        </w:rPr>
      </w:pPr>
      <w:r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 рабочих дней  со дня поступления уведомления Продавцу об отзыве.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F71CD0" w:rsidRPr="00BE79E7" w:rsidRDefault="00F71CD0" w:rsidP="00F71CD0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10.05.2016.</w:t>
      </w:r>
    </w:p>
    <w:p w:rsidR="00F71CD0" w:rsidRDefault="00F71CD0" w:rsidP="00F71CD0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F71CD0" w:rsidRDefault="00F71CD0" w:rsidP="00F71CD0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</w:t>
      </w:r>
    </w:p>
    <w:p w:rsidR="00F71CD0" w:rsidRDefault="00F71CD0" w:rsidP="00F71CD0">
      <w:pPr>
        <w:pStyle w:val="20"/>
        <w:ind w:left="284" w:firstLine="0"/>
        <w:jc w:val="both"/>
        <w:rPr>
          <w:b/>
          <w:sz w:val="24"/>
        </w:rPr>
      </w:pPr>
    </w:p>
    <w:p w:rsidR="00F71CD0" w:rsidRDefault="00F71CD0" w:rsidP="00F71CD0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Протокол рассмотрения заявок размещается на официальном сайте </w:t>
      </w:r>
      <w:proofErr w:type="spellStart"/>
      <w:r>
        <w:rPr>
          <w:b/>
          <w:sz w:val="24"/>
        </w:rPr>
        <w:t>торговне</w:t>
      </w:r>
      <w:proofErr w:type="spellEnd"/>
      <w:r>
        <w:rPr>
          <w:b/>
          <w:sz w:val="24"/>
        </w:rPr>
        <w:t xml:space="preserve"> позднее 11.05.2016.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F71CD0" w:rsidRPr="00D76AA3" w:rsidRDefault="00F71CD0" w:rsidP="00F71CD0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 </w:t>
      </w:r>
      <w:r w:rsidRPr="00D76AA3">
        <w:rPr>
          <w:b/>
          <w:sz w:val="24"/>
          <w:szCs w:val="24"/>
        </w:rPr>
        <w:t xml:space="preserve">Обязанность доказать свое право на участие в </w:t>
      </w:r>
      <w:r>
        <w:rPr>
          <w:b/>
          <w:sz w:val="24"/>
          <w:szCs w:val="24"/>
        </w:rPr>
        <w:t>торгах</w:t>
      </w:r>
      <w:r w:rsidRPr="00D76AA3">
        <w:rPr>
          <w:b/>
          <w:sz w:val="24"/>
          <w:szCs w:val="24"/>
        </w:rPr>
        <w:t xml:space="preserve"> лежит на Претенденте.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</w:t>
      </w:r>
    </w:p>
    <w:p w:rsidR="00F71CD0" w:rsidRDefault="00F71CD0" w:rsidP="00F71CD0">
      <w:pPr>
        <w:pStyle w:val="20"/>
        <w:ind w:left="0" w:firstLine="0"/>
        <w:jc w:val="both"/>
        <w:rPr>
          <w:b/>
          <w:sz w:val="24"/>
          <w:szCs w:val="24"/>
        </w:rPr>
      </w:pPr>
    </w:p>
    <w:p w:rsidR="00F71CD0" w:rsidRDefault="00F71CD0" w:rsidP="00F71CD0">
      <w:pPr>
        <w:pStyle w:val="20"/>
        <w:ind w:left="0" w:firstLine="0"/>
        <w:jc w:val="center"/>
        <w:rPr>
          <w:b/>
          <w:kern w:val="20"/>
          <w:sz w:val="28"/>
          <w:szCs w:val="28"/>
        </w:rPr>
      </w:pPr>
      <w:r>
        <w:rPr>
          <w:b/>
          <w:kern w:val="20"/>
          <w:sz w:val="28"/>
          <w:szCs w:val="28"/>
        </w:rPr>
        <w:t>2.</w:t>
      </w:r>
      <w:r w:rsidRPr="00422578">
        <w:rPr>
          <w:b/>
          <w:kern w:val="20"/>
          <w:sz w:val="28"/>
          <w:szCs w:val="28"/>
        </w:rPr>
        <w:t>УСЛОВИЯ ПРОДАЖИ МУНИЦИПАЛЬНОГО ИМУЩЕСТВА</w:t>
      </w:r>
    </w:p>
    <w:p w:rsidR="00F71CD0" w:rsidRPr="00422578" w:rsidRDefault="00F71CD0" w:rsidP="00F71CD0">
      <w:pPr>
        <w:pStyle w:val="20"/>
        <w:ind w:left="0" w:firstLine="0"/>
        <w:jc w:val="center"/>
        <w:rPr>
          <w:b/>
          <w:kern w:val="20"/>
          <w:sz w:val="28"/>
          <w:szCs w:val="28"/>
        </w:rPr>
      </w:pPr>
      <w:r w:rsidRPr="00422578">
        <w:rPr>
          <w:b/>
          <w:kern w:val="20"/>
          <w:sz w:val="28"/>
          <w:szCs w:val="28"/>
        </w:rPr>
        <w:t xml:space="preserve"> И КРИТЕРИИ ВЫЯВЛЕНИЯ ПОБЕДИТЕЛЯ:</w:t>
      </w:r>
    </w:p>
    <w:p w:rsidR="00F71CD0" w:rsidRPr="003F63DE" w:rsidRDefault="00F71CD0" w:rsidP="00F71CD0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F71CD0" w:rsidRPr="003F63DE" w:rsidRDefault="00F71CD0" w:rsidP="00F71CD0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:00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12.05.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г.Бор, </w:t>
      </w:r>
      <w:proofErr w:type="spellStart"/>
      <w:r w:rsidRPr="003F63DE">
        <w:rPr>
          <w:b/>
          <w:kern w:val="20"/>
          <w:sz w:val="24"/>
        </w:rPr>
        <w:t>ул</w:t>
      </w:r>
      <w:proofErr w:type="gramStart"/>
      <w:r w:rsidRPr="003F63DE">
        <w:rPr>
          <w:b/>
          <w:kern w:val="20"/>
          <w:sz w:val="24"/>
        </w:rPr>
        <w:t>.Л</w:t>
      </w:r>
      <w:proofErr w:type="gramEnd"/>
      <w:r w:rsidRPr="003F63DE">
        <w:rPr>
          <w:b/>
          <w:kern w:val="20"/>
          <w:sz w:val="24"/>
        </w:rPr>
        <w:t>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F71CD0" w:rsidRPr="003F63DE" w:rsidRDefault="00F71CD0" w:rsidP="00F71CD0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12.05.2016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г.Бор, </w:t>
      </w:r>
      <w:proofErr w:type="spellStart"/>
      <w:r>
        <w:rPr>
          <w:b/>
          <w:kern w:val="20"/>
          <w:sz w:val="24"/>
        </w:rPr>
        <w:t>ул</w:t>
      </w:r>
      <w:proofErr w:type="gramStart"/>
      <w:r>
        <w:rPr>
          <w:b/>
          <w:kern w:val="20"/>
          <w:sz w:val="24"/>
        </w:rPr>
        <w:t>.Л</w:t>
      </w:r>
      <w:proofErr w:type="gramEnd"/>
      <w:r>
        <w:rPr>
          <w:b/>
          <w:kern w:val="20"/>
          <w:sz w:val="24"/>
        </w:rPr>
        <w:t>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F71CD0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F71CD0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</w:t>
      </w:r>
      <w:r>
        <w:rPr>
          <w:rFonts w:ascii="Times New Roman" w:hAnsi="Times New Roman"/>
          <w:b/>
          <w:sz w:val="24"/>
        </w:rPr>
        <w:t>три</w:t>
      </w:r>
      <w:r w:rsidRPr="003F63DE">
        <w:rPr>
          <w:rFonts w:ascii="Times New Roman" w:hAnsi="Times New Roman"/>
          <w:b/>
          <w:sz w:val="24"/>
        </w:rPr>
        <w:t xml:space="preserve">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F71CD0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</w:p>
    <w:p w:rsidR="00F71CD0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F71CD0" w:rsidRPr="003F63DE" w:rsidRDefault="00F71CD0" w:rsidP="00F71CD0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F71CD0" w:rsidRPr="003F63DE" w:rsidRDefault="00F71CD0" w:rsidP="00F71CD0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проведения аукциона.</w:t>
      </w:r>
    </w:p>
    <w:p w:rsidR="00F71CD0" w:rsidRPr="003F63DE" w:rsidRDefault="00F71CD0" w:rsidP="00F71CD0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F71CD0" w:rsidRDefault="00F71CD0" w:rsidP="00F71CD0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 xml:space="preserve">заключается в течение пяти рабочих дней </w:t>
      </w:r>
      <w:proofErr w:type="gramStart"/>
      <w:r>
        <w:rPr>
          <w:b/>
          <w:kern w:val="20"/>
          <w:sz w:val="24"/>
        </w:rPr>
        <w:t>с даты подведения</w:t>
      </w:r>
      <w:proofErr w:type="gramEnd"/>
      <w:r>
        <w:rPr>
          <w:b/>
          <w:kern w:val="20"/>
          <w:sz w:val="24"/>
        </w:rPr>
        <w:t xml:space="preserve"> итогов аукциона</w:t>
      </w:r>
      <w:r>
        <w:rPr>
          <w:b/>
          <w:sz w:val="24"/>
          <w:szCs w:val="24"/>
        </w:rPr>
        <w:t>.</w:t>
      </w:r>
    </w:p>
    <w:p w:rsidR="00F71CD0" w:rsidRDefault="00F71CD0" w:rsidP="00F71CD0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>Задаток не возвращается Победителю аукциона (Покупателю имущества):</w:t>
      </w:r>
    </w:p>
    <w:p w:rsidR="00F71CD0" w:rsidRDefault="00F71CD0" w:rsidP="00F71CD0">
      <w:pPr>
        <w:pStyle w:val="a5"/>
        <w:spacing w:after="0"/>
        <w:ind w:left="72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 xml:space="preserve">- </w:t>
      </w:r>
      <w:r w:rsidRPr="003F63DE">
        <w:rPr>
          <w:b/>
          <w:kern w:val="20"/>
          <w:sz w:val="24"/>
        </w:rPr>
        <w:t xml:space="preserve">При </w:t>
      </w:r>
      <w:r>
        <w:rPr>
          <w:b/>
          <w:kern w:val="20"/>
          <w:sz w:val="24"/>
        </w:rPr>
        <w:t>уклонении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или отказе </w:t>
      </w:r>
      <w:r w:rsidRPr="003F63DE">
        <w:rPr>
          <w:b/>
          <w:kern w:val="20"/>
          <w:sz w:val="24"/>
        </w:rPr>
        <w:t xml:space="preserve">Победителя </w:t>
      </w:r>
      <w:r>
        <w:rPr>
          <w:b/>
          <w:kern w:val="20"/>
          <w:sz w:val="24"/>
        </w:rPr>
        <w:t xml:space="preserve">аукциона </w:t>
      </w:r>
      <w:r w:rsidRPr="003F63DE">
        <w:rPr>
          <w:b/>
          <w:kern w:val="20"/>
          <w:sz w:val="24"/>
        </w:rPr>
        <w:t xml:space="preserve">от </w:t>
      </w:r>
      <w:r>
        <w:rPr>
          <w:b/>
          <w:kern w:val="20"/>
          <w:sz w:val="24"/>
        </w:rPr>
        <w:t>заключения в установленный срок</w:t>
      </w:r>
      <w:r w:rsidRPr="003F63DE">
        <w:rPr>
          <w:b/>
          <w:kern w:val="20"/>
          <w:sz w:val="24"/>
        </w:rPr>
        <w:t xml:space="preserve"> договора купли-продажи</w:t>
      </w:r>
      <w:r>
        <w:rPr>
          <w:b/>
          <w:kern w:val="20"/>
          <w:sz w:val="24"/>
        </w:rPr>
        <w:t xml:space="preserve"> имущества.</w:t>
      </w:r>
    </w:p>
    <w:p w:rsidR="00F71CD0" w:rsidRDefault="00F71CD0" w:rsidP="00F71CD0">
      <w:pPr>
        <w:pStyle w:val="a5"/>
        <w:spacing w:after="0"/>
        <w:ind w:left="72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>- При неисполнении Покупателем условий  и сроков оплаты имущества в соответствии с договором купл</w:t>
      </w:r>
      <w:proofErr w:type="gramStart"/>
      <w:r>
        <w:rPr>
          <w:b/>
          <w:kern w:val="20"/>
          <w:sz w:val="24"/>
        </w:rPr>
        <w:t>и-</w:t>
      </w:r>
      <w:proofErr w:type="gramEnd"/>
      <w:r>
        <w:rPr>
          <w:b/>
          <w:kern w:val="20"/>
          <w:sz w:val="24"/>
        </w:rPr>
        <w:t xml:space="preserve"> продажи и наступления последствий расторжения договора.</w:t>
      </w:r>
    </w:p>
    <w:p w:rsidR="00F71CD0" w:rsidRPr="003F63DE" w:rsidRDefault="00F71CD0" w:rsidP="00F71CD0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F71CD0" w:rsidRPr="003F63DE" w:rsidRDefault="00F71CD0" w:rsidP="00F71CD0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F71CD0" w:rsidRPr="003F63DE" w:rsidRDefault="00F71CD0" w:rsidP="00F71CD0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</w:t>
      </w:r>
      <w:r>
        <w:rPr>
          <w:b/>
          <w:kern w:val="20"/>
          <w:sz w:val="24"/>
        </w:rPr>
        <w:t>.</w:t>
      </w:r>
    </w:p>
    <w:p w:rsidR="00F71CD0" w:rsidRPr="003F63DE" w:rsidRDefault="00F71CD0" w:rsidP="00F71CD0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F71CD0" w:rsidRDefault="00F71CD0" w:rsidP="00F71CD0">
      <w:pPr>
        <w:pStyle w:val="a5"/>
        <w:spacing w:after="0"/>
        <w:jc w:val="both"/>
        <w:rPr>
          <w:b/>
          <w:kern w:val="20"/>
          <w:sz w:val="24"/>
          <w:szCs w:val="24"/>
        </w:rPr>
      </w:pPr>
      <w:r w:rsidRPr="003F63DE">
        <w:rPr>
          <w:b/>
          <w:kern w:val="20"/>
          <w:sz w:val="24"/>
        </w:rPr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07.04.2016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г.Бор, </w:t>
      </w:r>
      <w:proofErr w:type="spellStart"/>
      <w:r w:rsidRPr="003F63DE">
        <w:rPr>
          <w:b/>
          <w:kern w:val="20"/>
          <w:sz w:val="24"/>
        </w:rPr>
        <w:t>ул</w:t>
      </w:r>
      <w:proofErr w:type="gramStart"/>
      <w:r w:rsidRPr="003F63DE">
        <w:rPr>
          <w:b/>
          <w:kern w:val="20"/>
          <w:sz w:val="24"/>
        </w:rPr>
        <w:t>.Л</w:t>
      </w:r>
      <w:proofErr w:type="gramEnd"/>
      <w:r w:rsidRPr="003F63DE">
        <w:rPr>
          <w:b/>
          <w:kern w:val="20"/>
          <w:sz w:val="24"/>
        </w:rPr>
        <w:t>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. </w:t>
      </w:r>
      <w:r w:rsidRPr="008C4253">
        <w:rPr>
          <w:b/>
          <w:kern w:val="20"/>
          <w:sz w:val="24"/>
          <w:szCs w:val="24"/>
        </w:rPr>
        <w:t>Справки по телефону:  8(83159)9-05-25, факс 8(83159)9-99-10.</w:t>
      </w:r>
    </w:p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</w:p>
    <w:p w:rsidR="00F71CD0" w:rsidRDefault="00F71CD0" w:rsidP="00F71CD0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</w:p>
    <w:p w:rsidR="00F033DB" w:rsidRDefault="00F033DB"/>
    <w:sectPr w:rsidR="00F033DB" w:rsidSect="00F71CD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D0"/>
    <w:rsid w:val="00DB0CE1"/>
    <w:rsid w:val="00F033DB"/>
    <w:rsid w:val="00F10352"/>
    <w:rsid w:val="00F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71CD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1CD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F71CD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71C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F71CD0"/>
    <w:pPr>
      <w:ind w:left="566" w:hanging="283"/>
    </w:pPr>
  </w:style>
  <w:style w:type="paragraph" w:styleId="2">
    <w:name w:val="List Bullet 2"/>
    <w:basedOn w:val="a"/>
    <w:autoRedefine/>
    <w:rsid w:val="00F71CD0"/>
    <w:pPr>
      <w:numPr>
        <w:numId w:val="1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F71CD0"/>
    <w:pPr>
      <w:spacing w:after="120"/>
    </w:pPr>
  </w:style>
  <w:style w:type="character" w:customStyle="1" w:styleId="a6">
    <w:name w:val="Основной текст Знак"/>
    <w:basedOn w:val="a0"/>
    <w:link w:val="a5"/>
    <w:rsid w:val="00F7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Indent"/>
    <w:basedOn w:val="a"/>
    <w:rsid w:val="00F71CD0"/>
    <w:pPr>
      <w:ind w:left="720"/>
    </w:pPr>
  </w:style>
  <w:style w:type="paragraph" w:customStyle="1" w:styleId="ConsNormal">
    <w:name w:val="ConsNormal"/>
    <w:rsid w:val="00F71CD0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71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71CD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1CD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F71CD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71C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F71CD0"/>
    <w:pPr>
      <w:ind w:left="566" w:hanging="283"/>
    </w:pPr>
  </w:style>
  <w:style w:type="paragraph" w:styleId="2">
    <w:name w:val="List Bullet 2"/>
    <w:basedOn w:val="a"/>
    <w:autoRedefine/>
    <w:rsid w:val="00F71CD0"/>
    <w:pPr>
      <w:numPr>
        <w:numId w:val="1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F71CD0"/>
    <w:pPr>
      <w:spacing w:after="120"/>
    </w:pPr>
  </w:style>
  <w:style w:type="character" w:customStyle="1" w:styleId="a6">
    <w:name w:val="Основной текст Знак"/>
    <w:basedOn w:val="a0"/>
    <w:link w:val="a5"/>
    <w:rsid w:val="00F7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Indent"/>
    <w:basedOn w:val="a"/>
    <w:rsid w:val="00F71CD0"/>
    <w:pPr>
      <w:ind w:left="720"/>
    </w:pPr>
  </w:style>
  <w:style w:type="paragraph" w:customStyle="1" w:styleId="ConsNormal">
    <w:name w:val="ConsNormal"/>
    <w:rsid w:val="00F71CD0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71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2016-03-29T13:27:00Z</dcterms:created>
  <dcterms:modified xsi:type="dcterms:W3CDTF">2016-04-05T06:03:00Z</dcterms:modified>
</cp:coreProperties>
</file>