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D45" w:rsidRDefault="008C6D45">
      <w:pPr>
        <w:pStyle w:val="21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8C6D45" w:rsidRDefault="008C6D45">
      <w:pPr>
        <w:pStyle w:val="210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8C6D45" w:rsidRDefault="008C6D45">
      <w:pPr>
        <w:pStyle w:val="210"/>
        <w:spacing w:line="360" w:lineRule="auto"/>
        <w:jc w:val="center"/>
        <w:rPr>
          <w:b/>
          <w:spacing w:val="90"/>
          <w:szCs w:val="32"/>
        </w:rPr>
      </w:pPr>
    </w:p>
    <w:p w:rsidR="008C6D45" w:rsidRDefault="008C6D45">
      <w:pPr>
        <w:pStyle w:val="210"/>
        <w:jc w:val="center"/>
        <w:rPr>
          <w:sz w:val="18"/>
          <w:szCs w:val="18"/>
        </w:rPr>
      </w:pPr>
      <w:r>
        <w:rPr>
          <w:b/>
          <w:sz w:val="36"/>
          <w:szCs w:val="36"/>
        </w:rPr>
        <w:t>ПОСТАНОВЛЕНИЕ</w:t>
      </w:r>
    </w:p>
    <w:p w:rsidR="008C6D45" w:rsidRDefault="008C6D45">
      <w:pPr>
        <w:pStyle w:val="210"/>
        <w:ind w:firstLine="540"/>
        <w:jc w:val="both"/>
        <w:rPr>
          <w:sz w:val="18"/>
          <w:szCs w:val="18"/>
        </w:rPr>
      </w:pPr>
    </w:p>
    <w:p w:rsidR="008C6D45" w:rsidRDefault="008C6D45">
      <w:pPr>
        <w:pStyle w:val="210"/>
        <w:ind w:firstLine="540"/>
        <w:jc w:val="both"/>
        <w:rPr>
          <w:sz w:val="18"/>
          <w:szCs w:val="18"/>
        </w:rPr>
      </w:pPr>
    </w:p>
    <w:p w:rsidR="008C6D45" w:rsidRDefault="008C6D45">
      <w:pPr>
        <w:pStyle w:val="210"/>
        <w:ind w:firstLine="15"/>
        <w:jc w:val="both"/>
        <w:rPr>
          <w:sz w:val="26"/>
          <w:szCs w:val="26"/>
        </w:rPr>
      </w:pPr>
    </w:p>
    <w:p w:rsidR="008C6D45" w:rsidRDefault="008C6D45">
      <w:pPr>
        <w:pStyle w:val="210"/>
        <w:ind w:firstLine="15"/>
        <w:jc w:val="both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>От                                                                                                                     №</w:t>
      </w:r>
    </w:p>
    <w:p w:rsidR="008C6D45" w:rsidRDefault="008C6D45">
      <w:pPr>
        <w:pStyle w:val="23"/>
        <w:spacing w:line="200" w:lineRule="atLeast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</w:p>
    <w:p w:rsidR="008C6D45" w:rsidRDefault="008C6D45">
      <w:pPr>
        <w:pStyle w:val="23"/>
        <w:spacing w:line="200" w:lineRule="atLeast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О внесении изменений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</w:t>
      </w:r>
    </w:p>
    <w:p w:rsidR="008C6D45" w:rsidRDefault="008C6D45">
      <w:pPr>
        <w:pStyle w:val="210"/>
        <w:spacing w:line="200" w:lineRule="atLeast"/>
        <w:ind w:hanging="15"/>
        <w:jc w:val="both"/>
      </w:pPr>
    </w:p>
    <w:p w:rsidR="008C6D45" w:rsidRDefault="008C6D45">
      <w:pPr>
        <w:autoSpaceDE w:val="0"/>
        <w:spacing w:line="200" w:lineRule="atLeast"/>
        <w:ind w:firstLine="540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 (п. 4 ст. 13.4.),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г. Бор </w:t>
      </w:r>
      <w:r>
        <w:rPr>
          <w:rFonts w:eastAsia="Arial"/>
          <w:b/>
          <w:bCs/>
          <w:color w:val="000000"/>
          <w:sz w:val="28"/>
          <w:szCs w:val="28"/>
        </w:rPr>
        <w:t>постановляет:</w:t>
      </w:r>
    </w:p>
    <w:p w:rsidR="008C6D45" w:rsidRDefault="008C6D45">
      <w:pPr>
        <w:autoSpaceDE w:val="0"/>
        <w:spacing w:line="200" w:lineRule="atLeast"/>
        <w:ind w:firstLine="540"/>
        <w:jc w:val="both"/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1. Внести следующие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 (в ред. пост. от 05.11.2019 № 5931; от 06.07.2020 № 2756; от 11.09.2020                    № 4015; от 16.11.2021 № 5732; от 28.07.2022 № 3866; от 22.12.2022 № 6710;              от </w:t>
      </w:r>
      <w:r>
        <w:rPr>
          <w:rFonts w:eastAsia="Arial"/>
          <w:sz w:val="28"/>
          <w:szCs w:val="28"/>
          <w:lang w:eastAsia="hi-IN" w:bidi="hi-IN"/>
        </w:rPr>
        <w:t>13.03.2023 № 1473; от 28.03.2023 № 1846; от 14.07.2023 № 4147;                              от 04.09.2023 № 5179) «</w:t>
      </w: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Об утверждении реестра мест (площадок) накопления твердых коммунальных отходов (ТКО), расположенных на территории городского округа г. Бор Нижегородской области»,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дополнив строкой № 669 согласно приложения.</w:t>
      </w:r>
    </w:p>
    <w:p w:rsidR="008C6D45" w:rsidRDefault="008C6D45">
      <w:pPr>
        <w:autoSpaceDE w:val="0"/>
        <w:spacing w:line="200" w:lineRule="atLeast"/>
        <w:ind w:firstLine="525"/>
        <w:jc w:val="both"/>
        <w:rPr>
          <w:color w:val="000000"/>
          <w:sz w:val="28"/>
          <w:szCs w:val="28"/>
          <w:lang w:eastAsia="hi-IN" w:bidi="hi-IN"/>
        </w:rPr>
      </w:pPr>
      <w:r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  <w:t xml:space="preserve">2. </w:t>
      </w:r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 xml:space="preserve">Общему отделу администрации городского округа г. Бор                          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hyperlink r:id="rId5" w:history="1">
        <w:r>
          <w:rPr>
            <w:rStyle w:val="a5"/>
            <w:rFonts w:eastAsia="Arial"/>
            <w:color w:val="auto"/>
            <w:sz w:val="28"/>
            <w:szCs w:val="28"/>
            <w:shd w:val="clear" w:color="auto" w:fill="FFFFFF"/>
          </w:rPr>
          <w:t>www.borcity.ru</w:t>
        </w:r>
      </w:hyperlink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>.</w:t>
      </w:r>
    </w:p>
    <w:p w:rsidR="008C6D45" w:rsidRDefault="008C6D45">
      <w:pPr>
        <w:spacing w:line="360" w:lineRule="auto"/>
        <w:jc w:val="both"/>
        <w:rPr>
          <w:color w:val="000000"/>
          <w:sz w:val="28"/>
          <w:szCs w:val="28"/>
          <w:lang w:eastAsia="hi-IN" w:bidi="hi-IN"/>
        </w:rPr>
      </w:pPr>
    </w:p>
    <w:p w:rsidR="008C6D45" w:rsidRDefault="008C6D45">
      <w:pPr>
        <w:pStyle w:val="2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Боровский </w:t>
      </w:r>
    </w:p>
    <w:p w:rsidR="008C6D45" w:rsidRDefault="008C6D45">
      <w:pPr>
        <w:pStyle w:val="210"/>
        <w:autoSpaceDE w:val="0"/>
        <w:spacing w:line="360" w:lineRule="auto"/>
        <w:ind w:firstLine="540"/>
        <w:jc w:val="both"/>
        <w:rPr>
          <w:sz w:val="28"/>
          <w:szCs w:val="28"/>
        </w:rPr>
      </w:pPr>
    </w:p>
    <w:p w:rsidR="008C6D45" w:rsidRDefault="008C6D45">
      <w:pPr>
        <w:pStyle w:val="210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sz w:val="20"/>
          <w:szCs w:val="20"/>
        </w:rPr>
        <w:t>Исп.: И.А. Корзина</w:t>
      </w:r>
    </w:p>
    <w:p w:rsidR="008C6D45" w:rsidRDefault="008C6D45">
      <w:pPr>
        <w:pStyle w:val="210"/>
        <w:autoSpaceDE w:val="0"/>
        <w:spacing w:line="100" w:lineRule="atLeast"/>
        <w:ind w:firstLine="540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rFonts w:eastAsia="Arial"/>
          <w:sz w:val="20"/>
          <w:szCs w:val="20"/>
          <w:shd w:val="clear" w:color="auto" w:fill="FFFFFF"/>
          <w:lang w:eastAsia="hi-IN" w:bidi="hi-IN"/>
        </w:rPr>
        <w:t xml:space="preserve">  9-97-64</w:t>
      </w:r>
    </w:p>
    <w:p w:rsidR="008C6D45" w:rsidRDefault="008C6D45">
      <w:pPr>
        <w:pStyle w:val="210"/>
        <w:autoSpaceDE w:val="0"/>
        <w:spacing w:line="100" w:lineRule="atLeast"/>
        <w:ind w:firstLine="540"/>
        <w:jc w:val="both"/>
        <w:sectPr w:rsidR="008C6D45">
          <w:pgSz w:w="11906" w:h="16838"/>
          <w:pgMar w:top="426" w:right="798" w:bottom="142" w:left="1418" w:header="720" w:footer="720" w:gutter="0"/>
          <w:cols w:space="720"/>
          <w:docGrid w:linePitch="600" w:charSpace="32768"/>
        </w:sectPr>
      </w:pPr>
      <w:r>
        <w:rPr>
          <w:rFonts w:eastAsia="Arial"/>
          <w:sz w:val="20"/>
          <w:szCs w:val="20"/>
          <w:shd w:val="clear" w:color="auto" w:fill="FFFFFF"/>
          <w:lang w:eastAsia="hi-IN" w:bidi="hi-IN"/>
        </w:rPr>
        <w:t>А.В. Котелков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5"/>
        <w:gridCol w:w="5430"/>
      </w:tblGrid>
      <w:tr w:rsidR="008C6D45">
        <w:tc>
          <w:tcPr>
            <w:tcW w:w="9765" w:type="dxa"/>
            <w:shd w:val="clear" w:color="auto" w:fill="auto"/>
          </w:tcPr>
          <w:p w:rsidR="008C6D45" w:rsidRDefault="008C6D45">
            <w:pPr>
              <w:pStyle w:val="ab"/>
              <w:snapToGrid w:val="0"/>
              <w:jc w:val="right"/>
            </w:pPr>
          </w:p>
        </w:tc>
        <w:tc>
          <w:tcPr>
            <w:tcW w:w="5430" w:type="dxa"/>
            <w:shd w:val="clear" w:color="auto" w:fill="auto"/>
          </w:tcPr>
          <w:p w:rsidR="008C6D45" w:rsidRDefault="008C6D45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Приложение</w:t>
            </w:r>
          </w:p>
          <w:p w:rsidR="008C6D45" w:rsidRDefault="008C6D45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8C6D45" w:rsidRDefault="008C6D45">
            <w:pPr>
              <w:spacing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городского округа г. Бор </w:t>
            </w:r>
          </w:p>
          <w:p w:rsidR="008C6D45" w:rsidRDefault="008C6D45">
            <w:pPr>
              <w:spacing w:line="100" w:lineRule="atLeast"/>
              <w:ind w:firstLine="540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от _____________ № ___________</w:t>
            </w:r>
          </w:p>
          <w:p w:rsidR="008C6D45" w:rsidRDefault="008C6D45">
            <w:pPr>
              <w:jc w:val="center"/>
              <w:rPr>
                <w:sz w:val="20"/>
                <w:szCs w:val="20"/>
              </w:rPr>
            </w:pPr>
          </w:p>
          <w:p w:rsidR="008C6D45" w:rsidRDefault="008C6D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6D45" w:rsidRDefault="008C6D45">
      <w:pPr>
        <w:spacing w:line="100" w:lineRule="atLeast"/>
        <w:jc w:val="right"/>
      </w:pPr>
    </w:p>
    <w:p w:rsidR="008C6D45" w:rsidRDefault="008C6D45">
      <w:pPr>
        <w:spacing w:line="100" w:lineRule="atLeast"/>
        <w:jc w:val="right"/>
      </w:pPr>
    </w:p>
    <w:p w:rsidR="008C6D45" w:rsidRDefault="008C6D45"/>
    <w:p w:rsidR="008C6D45" w:rsidRDefault="008C6D45"/>
    <w:p w:rsidR="008C6D45" w:rsidRDefault="008C6D45"/>
    <w:p w:rsidR="008C6D45" w:rsidRDefault="008C6D45"/>
    <w:p w:rsidR="008C6D45" w:rsidRDefault="008C6D4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2"/>
        <w:gridCol w:w="501"/>
        <w:gridCol w:w="429"/>
        <w:gridCol w:w="424"/>
        <w:gridCol w:w="350"/>
        <w:gridCol w:w="414"/>
        <w:gridCol w:w="388"/>
        <w:gridCol w:w="328"/>
        <w:gridCol w:w="312"/>
        <w:gridCol w:w="776"/>
        <w:gridCol w:w="420"/>
        <w:gridCol w:w="365"/>
        <w:gridCol w:w="434"/>
        <w:gridCol w:w="414"/>
        <w:gridCol w:w="722"/>
        <w:gridCol w:w="336"/>
        <w:gridCol w:w="361"/>
        <w:gridCol w:w="389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296"/>
        <w:gridCol w:w="395"/>
        <w:gridCol w:w="404"/>
        <w:gridCol w:w="516"/>
        <w:gridCol w:w="473"/>
        <w:gridCol w:w="406"/>
        <w:gridCol w:w="843"/>
      </w:tblGrid>
      <w:tr w:rsidR="008C6D45">
        <w:tc>
          <w:tcPr>
            <w:tcW w:w="3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  <w:p w:rsidR="008C6D45" w:rsidRDefault="008C6D45">
            <w:pPr>
              <w:suppressAutoHyphens w:val="0"/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№ п/п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392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нахождении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собственниках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технических характеристиках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8C6D45">
        <w:tc>
          <w:tcPr>
            <w:tcW w:w="3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7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8C6D45" w:rsidRDefault="008C6D45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8C6D45" w:rsidRDefault="008C6D45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м2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5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м2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м2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м2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включении(отказе)сведений о контейнерной площадке в реестр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8C6D45">
        <w:tc>
          <w:tcPr>
            <w:tcW w:w="3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5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ind w:left="-57" w:right="-57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2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51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  <w:tc>
          <w:tcPr>
            <w:tcW w:w="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6D45" w:rsidRDefault="008C6D45">
            <w:pPr>
              <w:pStyle w:val="ab"/>
              <w:suppressAutoHyphens w:val="0"/>
              <w:snapToGrid w:val="0"/>
              <w:jc w:val="both"/>
            </w:pPr>
          </w:p>
        </w:tc>
      </w:tr>
      <w:tr w:rsidR="008C6D45"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669</w:t>
            </w:r>
          </w:p>
        </w:tc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г.о.г. Бор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Луначарского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</w:pPr>
          </w:p>
          <w:p w:rsidR="008C6D45" w:rsidRDefault="008C6D45">
            <w:pPr>
              <w:suppressAutoHyphens w:val="0"/>
              <w:jc w:val="center"/>
            </w:pPr>
          </w:p>
          <w:p w:rsidR="008C6D45" w:rsidRDefault="008C6D45">
            <w:pPr>
              <w:suppressAutoHyphens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56° 21′9.34″;</w:t>
            </w:r>
          </w:p>
          <w:p w:rsidR="008C6D45" w:rsidRDefault="008C6D45">
            <w:pPr>
              <w:suppressAutoHyphens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44° 3′59.33″</w:t>
            </w:r>
          </w:p>
          <w:p w:rsidR="008C6D45" w:rsidRDefault="008C6D4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"МагистральИнвест"</w:t>
            </w:r>
          </w:p>
          <w:p w:rsidR="008C6D45" w:rsidRDefault="008C6D45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"МагистральИнвест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Товарищество собственников недвижимости «МАЯК»</w:t>
            </w:r>
          </w:p>
          <w:p w:rsidR="008C6D45" w:rsidRDefault="008C6D45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ОГРН 1215200047281</w:t>
            </w:r>
          </w:p>
          <w:p w:rsidR="008C6D45" w:rsidRDefault="008C6D45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Нижегородская область, г. Бор, ул. Луначарского, д. 212, кв. 70 </w:t>
            </w:r>
          </w:p>
        </w:tc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профнастил</w:t>
            </w:r>
          </w:p>
        </w:tc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</w:p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Луначарского</w:t>
            </w:r>
          </w:p>
        </w:tc>
        <w:tc>
          <w:tcPr>
            <w:tcW w:w="2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6518,9</w:t>
            </w: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664,8</w:t>
            </w:r>
          </w:p>
        </w:tc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817,8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C6D45" w:rsidRDefault="008C6D45">
            <w:pPr>
              <w:pStyle w:val="ab"/>
              <w:suppressAutoHyphens w:val="0"/>
              <w:snapToGrid w:val="0"/>
              <w:jc w:val="center"/>
            </w:pPr>
            <w:r>
              <w:rPr>
                <w:sz w:val="12"/>
                <w:szCs w:val="12"/>
              </w:rPr>
              <w:t>Заключение о соответствии мест (площадок) накопления ТКО</w:t>
            </w:r>
          </w:p>
        </w:tc>
      </w:tr>
    </w:tbl>
    <w:p w:rsidR="008C6D45" w:rsidRDefault="008C6D45">
      <w:pPr>
        <w:spacing w:line="100" w:lineRule="atLeast"/>
        <w:jc w:val="both"/>
        <w:rPr>
          <w:rFonts w:eastAsia="Arial"/>
          <w:sz w:val="20"/>
          <w:szCs w:val="20"/>
          <w:lang w:eastAsia="hi-IN" w:bidi="hi-IN"/>
        </w:rPr>
      </w:pPr>
    </w:p>
    <w:p w:rsidR="008C6D45" w:rsidRDefault="008C6D45">
      <w:pPr>
        <w:pStyle w:val="210"/>
        <w:spacing w:line="100" w:lineRule="atLeast"/>
        <w:jc w:val="both"/>
        <w:rPr>
          <w:rFonts w:eastAsia="Arial"/>
          <w:sz w:val="20"/>
          <w:szCs w:val="20"/>
          <w:lang w:eastAsia="hi-IN" w:bidi="hi-IN"/>
        </w:rPr>
      </w:pPr>
    </w:p>
    <w:p w:rsidR="008C6D45" w:rsidRDefault="008C6D45">
      <w:pPr>
        <w:pStyle w:val="210"/>
        <w:spacing w:line="100" w:lineRule="atLeast"/>
        <w:jc w:val="both"/>
      </w:pPr>
    </w:p>
    <w:p w:rsidR="008C6D45" w:rsidRDefault="008C6D45">
      <w:pPr>
        <w:pStyle w:val="210"/>
        <w:spacing w:line="100" w:lineRule="atLeast"/>
        <w:jc w:val="both"/>
      </w:pPr>
    </w:p>
    <w:sectPr w:rsidR="008C6D45">
      <w:pgSz w:w="16838" w:h="11906" w:orient="landscape"/>
      <w:pgMar w:top="1418" w:right="743" w:bottom="992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E3C"/>
    <w:rsid w:val="00524BBD"/>
    <w:rsid w:val="008C6D45"/>
    <w:rsid w:val="00C2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2021-10-29T07:59:00Z</cp:lastPrinted>
  <dcterms:created xsi:type="dcterms:W3CDTF">2023-12-20T08:37:00Z</dcterms:created>
  <dcterms:modified xsi:type="dcterms:W3CDTF">2023-12-20T08:37:00Z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