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A7" w:rsidRPr="003B4616" w:rsidRDefault="00166FA7" w:rsidP="00AE5EC2">
      <w:pPr>
        <w:tabs>
          <w:tab w:val="left" w:pos="9071"/>
        </w:tabs>
        <w:jc w:val="center"/>
        <w:rPr>
          <w:sz w:val="36"/>
          <w:szCs w:val="36"/>
        </w:rPr>
      </w:pPr>
      <w:r w:rsidRPr="003B4616">
        <w:rPr>
          <w:sz w:val="36"/>
          <w:szCs w:val="36"/>
        </w:rPr>
        <w:t xml:space="preserve">Администрация городского округа город Бор </w:t>
      </w:r>
    </w:p>
    <w:p w:rsidR="00166FA7" w:rsidRPr="004913F4" w:rsidRDefault="00166FA7" w:rsidP="00AE5EC2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 w:rsidRPr="003B4616">
        <w:rPr>
          <w:sz w:val="36"/>
          <w:szCs w:val="36"/>
        </w:rPr>
        <w:t>Нижегородской области</w:t>
      </w:r>
    </w:p>
    <w:p w:rsidR="00166FA7" w:rsidRPr="001F6EF6" w:rsidRDefault="00166FA7" w:rsidP="00AE5EC2">
      <w:pPr>
        <w:tabs>
          <w:tab w:val="left" w:pos="9071"/>
        </w:tabs>
        <w:jc w:val="center"/>
        <w:rPr>
          <w:sz w:val="20"/>
          <w:szCs w:val="20"/>
        </w:rPr>
      </w:pPr>
    </w:p>
    <w:p w:rsidR="00166FA7" w:rsidRPr="001F6EF6" w:rsidRDefault="00166FA7" w:rsidP="00AE5EC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F6EF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F6EF6" w:rsidRDefault="001F6EF6" w:rsidP="00AE5EC2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1F6EF6" w:rsidRPr="00AE5EC2" w:rsidRDefault="001F6EF6" w:rsidP="001F6EF6">
      <w:pPr>
        <w:tabs>
          <w:tab w:val="left" w:pos="10065"/>
        </w:tabs>
        <w:rPr>
          <w:sz w:val="28"/>
          <w:szCs w:val="28"/>
        </w:rPr>
      </w:pPr>
      <w:r w:rsidRPr="00AE5EC2">
        <w:rPr>
          <w:sz w:val="28"/>
          <w:szCs w:val="28"/>
        </w:rPr>
        <w:t>От 23.04.2021                                                                                                       № 2125</w:t>
      </w:r>
    </w:p>
    <w:p w:rsidR="001F6EF6" w:rsidRDefault="001F6EF6" w:rsidP="001F6EF6">
      <w:pPr>
        <w:tabs>
          <w:tab w:val="left" w:pos="10065"/>
        </w:tabs>
        <w:rPr>
          <w:sz w:val="24"/>
          <w:szCs w:val="24"/>
        </w:rPr>
      </w:pPr>
    </w:p>
    <w:p w:rsidR="00AE5EC2" w:rsidRDefault="00AE5EC2" w:rsidP="001F6EF6">
      <w:pPr>
        <w:tabs>
          <w:tab w:val="left" w:pos="10065"/>
        </w:tabs>
        <w:rPr>
          <w:sz w:val="24"/>
          <w:szCs w:val="24"/>
        </w:rPr>
      </w:pPr>
    </w:p>
    <w:p w:rsidR="001F6EF6" w:rsidRDefault="001F6EF6" w:rsidP="001F6EF6">
      <w:pPr>
        <w:tabs>
          <w:tab w:val="left" w:pos="9071"/>
        </w:tabs>
        <w:jc w:val="center"/>
        <w:rPr>
          <w:b/>
          <w:bCs/>
          <w:sz w:val="28"/>
          <w:szCs w:val="28"/>
        </w:rPr>
      </w:pPr>
      <w:r w:rsidRPr="00166FA7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административный</w:t>
      </w:r>
      <w:r w:rsidRPr="00166FA7">
        <w:rPr>
          <w:b/>
          <w:bCs/>
          <w:sz w:val="28"/>
          <w:szCs w:val="28"/>
        </w:rPr>
        <w:t xml:space="preserve"> регламент</w:t>
      </w:r>
    </w:p>
    <w:p w:rsidR="00F90A5F" w:rsidRDefault="001F6EF6" w:rsidP="001F6EF6">
      <w:pPr>
        <w:tabs>
          <w:tab w:val="left" w:pos="1006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предоставления муниципальной</w:t>
      </w:r>
      <w:r w:rsidRPr="00166FA7">
        <w:rPr>
          <w:b/>
          <w:bCs/>
          <w:sz w:val="28"/>
          <w:szCs w:val="28"/>
        </w:rPr>
        <w:t xml:space="preserve"> услуг</w:t>
      </w:r>
      <w:r>
        <w:rPr>
          <w:b/>
          <w:bCs/>
          <w:sz w:val="28"/>
          <w:szCs w:val="28"/>
        </w:rPr>
        <w:t>и «Присвоение  адресов объектам 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 или  межмуниципального значения) на территории  городского округа город Бор Нижегородской области», утвержденный постановлением ад</w:t>
      </w:r>
      <w:r w:rsidR="00025862">
        <w:rPr>
          <w:b/>
          <w:bCs/>
          <w:sz w:val="28"/>
          <w:szCs w:val="28"/>
        </w:rPr>
        <w:t>министрации городского округа г. Бор от 30.06.2017 № 3601</w:t>
      </w:r>
    </w:p>
    <w:p w:rsidR="001F6EF6" w:rsidRDefault="001F6EF6" w:rsidP="001F6EF6">
      <w:pPr>
        <w:tabs>
          <w:tab w:val="left" w:pos="10065"/>
        </w:tabs>
        <w:jc w:val="center"/>
        <w:rPr>
          <w:b/>
          <w:bCs/>
          <w:sz w:val="28"/>
          <w:szCs w:val="28"/>
        </w:rPr>
      </w:pPr>
    </w:p>
    <w:p w:rsidR="001F6EF6" w:rsidRDefault="001F6EF6" w:rsidP="001F6EF6">
      <w:pPr>
        <w:tabs>
          <w:tab w:val="left" w:pos="10065"/>
        </w:tabs>
        <w:jc w:val="center"/>
        <w:rPr>
          <w:sz w:val="28"/>
          <w:szCs w:val="28"/>
        </w:rPr>
      </w:pPr>
    </w:p>
    <w:p w:rsidR="001F6EF6" w:rsidRPr="0009274F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 w:rsidRPr="0009274F">
        <w:rPr>
          <w:sz w:val="28"/>
          <w:szCs w:val="28"/>
        </w:rPr>
        <w:t>На основании Федерального закона от 27.07.2010 № 210 – ФЗ (</w:t>
      </w:r>
      <w:r>
        <w:rPr>
          <w:sz w:val="28"/>
          <w:szCs w:val="28"/>
        </w:rPr>
        <w:t>с изменениями на 30.12.2020,</w:t>
      </w:r>
      <w:r w:rsidRPr="0009274F">
        <w:rPr>
          <w:sz w:val="28"/>
          <w:szCs w:val="28"/>
        </w:rPr>
        <w:t xml:space="preserve"> в редакции</w:t>
      </w:r>
      <w:r>
        <w:rPr>
          <w:sz w:val="28"/>
          <w:szCs w:val="28"/>
        </w:rPr>
        <w:t>,</w:t>
      </w:r>
      <w:r w:rsidRPr="0009274F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действующей с 01.01.2021</w:t>
      </w:r>
      <w:r w:rsidRPr="0009274F">
        <w:rPr>
          <w:sz w:val="28"/>
          <w:szCs w:val="28"/>
        </w:rPr>
        <w:t xml:space="preserve">) «Об 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 постановления  Правительства РФ от 19.11.2014 № 1221 «Об утверждении Правил присвоения, изменения и аннулирования адресов», постановления Правительства РФ  от  04.09.2020 № 1355 «О внесении изменений в  Правила присвоения, изменения и аннулирования адресов», </w:t>
      </w:r>
      <w:r w:rsidRPr="0009274F">
        <w:rPr>
          <w:sz w:val="28"/>
          <w:szCs w:val="28"/>
        </w:rPr>
        <w:t xml:space="preserve"> с целью приведения муниципальных правовых актов в соответствие с действующим законодательством администрация городского округа г. Бор </w:t>
      </w:r>
      <w:r w:rsidRPr="0009274F">
        <w:rPr>
          <w:b/>
          <w:bCs/>
          <w:sz w:val="28"/>
          <w:szCs w:val="28"/>
        </w:rPr>
        <w:t>постановляет</w:t>
      </w:r>
      <w:r w:rsidRPr="0009274F">
        <w:rPr>
          <w:sz w:val="28"/>
          <w:szCs w:val="28"/>
        </w:rPr>
        <w:t xml:space="preserve">: </w:t>
      </w:r>
    </w:p>
    <w:p w:rsidR="001F6EF6" w:rsidRPr="0009274F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 w:rsidRPr="0009274F">
        <w:rPr>
          <w:sz w:val="28"/>
          <w:szCs w:val="28"/>
        </w:rPr>
        <w:t>1.</w:t>
      </w:r>
      <w:r w:rsidR="00AE5EC2">
        <w:rPr>
          <w:sz w:val="28"/>
          <w:szCs w:val="28"/>
        </w:rPr>
        <w:t xml:space="preserve"> </w:t>
      </w:r>
      <w:r w:rsidRPr="0009274F">
        <w:rPr>
          <w:sz w:val="28"/>
          <w:szCs w:val="28"/>
        </w:rPr>
        <w:t>Внести в административный регламент предоставления муниципальной услуги «</w:t>
      </w:r>
      <w:r>
        <w:rPr>
          <w:sz w:val="28"/>
          <w:szCs w:val="28"/>
        </w:rPr>
        <w:t>Присвоение  адресов объектам  адресации, изменение, аннулирование адресов, присвоение наименований элементам улично-дорожной сети (за исключением  автомобильных дорог федерального значения, автомобильных дорог регионального или межмуниципального значения) на территории  городского округа город Бор Нижегородской области»</w:t>
      </w:r>
      <w:r w:rsidRPr="0009274F">
        <w:rPr>
          <w:sz w:val="28"/>
          <w:szCs w:val="28"/>
        </w:rPr>
        <w:t xml:space="preserve">, утвержденный постановлением администрации городского округа г.Бор от </w:t>
      </w:r>
      <w:r>
        <w:rPr>
          <w:sz w:val="28"/>
          <w:szCs w:val="28"/>
        </w:rPr>
        <w:t xml:space="preserve"> 30.06.2017</w:t>
      </w:r>
      <w:r w:rsidRPr="0009274F">
        <w:rPr>
          <w:sz w:val="28"/>
          <w:szCs w:val="28"/>
        </w:rPr>
        <w:t xml:space="preserve"> </w:t>
      </w:r>
      <w:r>
        <w:rPr>
          <w:sz w:val="28"/>
          <w:szCs w:val="28"/>
        </w:rPr>
        <w:t>№ 3601 (далее – административный регламент)</w:t>
      </w:r>
      <w:r w:rsidRPr="0009274F">
        <w:rPr>
          <w:sz w:val="28"/>
          <w:szCs w:val="28"/>
        </w:rPr>
        <w:t xml:space="preserve">  следующие изменения: 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</w:t>
      </w:r>
      <w:r w:rsidRPr="0009274F">
        <w:rPr>
          <w:sz w:val="28"/>
          <w:szCs w:val="28"/>
        </w:rPr>
        <w:t xml:space="preserve"> </w:t>
      </w:r>
      <w:r>
        <w:rPr>
          <w:sz w:val="28"/>
          <w:szCs w:val="28"/>
        </w:rPr>
        <w:t>Абзац 2 пункта 1.1. регламента изложить в следующей редакции: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 Действие  настоящего Регламента распространяется на следующие объекты адресации: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здание (строение, за  исключением некапитального строения), в том  числе  строительство которого не завершено;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сооружение (за исключением некапитального сооружения и линейного объекта), в том числе строительство которого не завершено; 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земельный участок (за исключением земельного участка, не относящегося к землям населенных пунктов  и  не предназначенного для  размещения на них  объектов капитального строительства);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помещение, являющееся частью объекта  капитального строительства;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машино-место (за исключением машино–места, являющегося частью некапитального здания или сооружения)».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1.2. регламента дополнить  подпунктом 1.2.2.2. следующего содержания: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«От имени лиц, указанных в  пунктах 1.2.1. и 1.2.2.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адресации».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6B62FB">
        <w:rPr>
          <w:sz w:val="28"/>
          <w:szCs w:val="28"/>
        </w:rPr>
        <w:t>. В пункте 2.5.1</w:t>
      </w:r>
      <w:r>
        <w:rPr>
          <w:sz w:val="28"/>
          <w:szCs w:val="28"/>
        </w:rPr>
        <w:t>.  регламента слова «не более 12</w:t>
      </w:r>
      <w:r w:rsidRPr="006B62FB">
        <w:rPr>
          <w:sz w:val="28"/>
          <w:szCs w:val="28"/>
        </w:rPr>
        <w:t xml:space="preserve"> рабочих дней» заменить  словами «не более 10 рабочих дней».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 2.7.2.1. регламента после слов «на объект (объекты) адресации»  дополнить словами «в  случае присвоения адреса зданию (строению) или сооружению, в том  числе строительство которых не завершено, в соответствии с Градостроительным кодексом Российской Федерации, для  строительства которых получение разрешения на строительство не требуется, </w:t>
      </w:r>
      <w:r>
        <w:rPr>
          <w:sz w:val="28"/>
          <w:szCs w:val="28"/>
        </w:rPr>
        <w:lastRenderedPageBreak/>
        <w:t>правоустанавливающие и (или) правоудостоверяющие документы на земельный участок, на котором расположены указанное здание (строение), сооружение.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2.7.2.2. регламента слова «Кадастровые паспорта объектов недвижимости» заменить словами «Выписки из Единого государственного реестра недвижимости об объектах недвижимости».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2.7.2.3. регламента слова «и (или) разрешение на ввод объекта адресации в  эксплуатацию» заменить  словами «за  исключением случаев, если в соответствии с Градостроительным кодексом Российской Федерации для строительства или  реконструкции здания (строения), сооружения получение разрешения на строительство не требуется и (или) при наличии  разрешения на  ввод объекта адресации в эксплуатацию».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 В пункте 2.7.2.5. регламента слова «Кадастровый паспорт объекта адресации» заменить словами «Выписка из Единого государственного реестра  недвижимости об объекте недвижимости, являющемся  объектом  адресации».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 Пункт 2.7.2.8. регламента изложить в следующей редакции «Уведомление об отсутствии в Едином государственном реестре недвижимости запрашиваемых сведений по объекту  недвижимости, являющемуся объектом адресации (в случае аннулирования адреса объекта адресации в связи с  прекращением существования объекта адресации и (или) снятия с государственного кадастрового учета  объекта недвижимости, являющегося объектом адресации».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 Абзац 1 подпункта 2.7.7.  регламента изложить в следующей редакции:</w:t>
      </w:r>
    </w:p>
    <w:p w:rsidR="001F6EF6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«Заявление в форме электронного документа подписывается электронной подписью Заявителя  либо представителя заявителя, вид которой  определяется в соответствии с  частью 2  статьи 21.1 Федерального закона «Об  организации предоставления государственных  и  муниципальных  услуг».</w:t>
      </w:r>
    </w:p>
    <w:p w:rsidR="001F6EF6" w:rsidRPr="006B62FB" w:rsidRDefault="001F6EF6" w:rsidP="00AE5EC2">
      <w:p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В подпункте 3.3.6. слова «Максимальный срок выполнения административной процедуры – 7 рабочих дней» заменить словами </w:t>
      </w:r>
      <w:r>
        <w:rPr>
          <w:sz w:val="28"/>
          <w:szCs w:val="28"/>
        </w:rPr>
        <w:lastRenderedPageBreak/>
        <w:t>«Максимальный срок выполнения административной процедуры – 5  рабочих  дней».</w:t>
      </w:r>
    </w:p>
    <w:p w:rsidR="001F6EF6" w:rsidRPr="0009274F" w:rsidRDefault="001F6EF6" w:rsidP="00AE5EC2">
      <w:pPr>
        <w:pStyle w:val="3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9274F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 Бор (Е.А. Копцова) обеспечить размещение настоящего постановления на официальном сайте  </w:t>
      </w:r>
      <w:hyperlink r:id="rId6" w:history="1">
        <w:r w:rsidRPr="001F6EF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1F6EF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F6EF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r w:rsidRPr="001F6EF6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1F6EF6">
          <w:rPr>
            <w:rStyle w:val="a8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1F6EF6">
        <w:rPr>
          <w:rFonts w:ascii="Times New Roman" w:hAnsi="Times New Roman" w:cs="Times New Roman"/>
          <w:sz w:val="28"/>
          <w:szCs w:val="28"/>
        </w:rPr>
        <w:t xml:space="preserve"> и оп</w:t>
      </w:r>
      <w:r w:rsidRPr="0009274F">
        <w:rPr>
          <w:rFonts w:ascii="Times New Roman" w:hAnsi="Times New Roman" w:cs="Times New Roman"/>
          <w:sz w:val="28"/>
          <w:szCs w:val="28"/>
        </w:rPr>
        <w:t xml:space="preserve">убликование в  газете «БОР сегодня». </w:t>
      </w:r>
    </w:p>
    <w:p w:rsidR="00F90A5F" w:rsidRDefault="00F90A5F" w:rsidP="008A2553">
      <w:pPr>
        <w:tabs>
          <w:tab w:val="left" w:pos="9071"/>
        </w:tabs>
        <w:spacing w:line="360" w:lineRule="auto"/>
        <w:ind w:right="-1"/>
        <w:jc w:val="both"/>
      </w:pPr>
    </w:p>
    <w:p w:rsidR="001F6EF6" w:rsidRDefault="001F6EF6" w:rsidP="008A2553">
      <w:pPr>
        <w:tabs>
          <w:tab w:val="left" w:pos="9071"/>
        </w:tabs>
        <w:spacing w:line="360" w:lineRule="auto"/>
        <w:ind w:right="-1"/>
        <w:jc w:val="both"/>
      </w:pPr>
    </w:p>
    <w:p w:rsidR="001F6EF6" w:rsidRPr="00AE5EC2" w:rsidRDefault="001F6EF6" w:rsidP="008A2553">
      <w:pPr>
        <w:tabs>
          <w:tab w:val="left" w:pos="9071"/>
        </w:tabs>
        <w:spacing w:line="360" w:lineRule="auto"/>
        <w:ind w:right="-1"/>
        <w:jc w:val="both"/>
        <w:rPr>
          <w:sz w:val="28"/>
          <w:szCs w:val="28"/>
        </w:rPr>
      </w:pPr>
      <w:r w:rsidRPr="00AE5EC2">
        <w:rPr>
          <w:sz w:val="28"/>
          <w:szCs w:val="28"/>
        </w:rPr>
        <w:t>Глава местного самоуправления                                                          А.В. Боровский</w:t>
      </w:r>
    </w:p>
    <w:p w:rsidR="00653538" w:rsidRPr="0009274F" w:rsidRDefault="00653538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166FA7" w:rsidRPr="0009274F" w:rsidRDefault="00166FA7" w:rsidP="005D2AB7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p w:rsidR="00166FA7" w:rsidRDefault="00166FA7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AE5EC2" w:rsidRDefault="00AE5EC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99701D" w:rsidRDefault="0099701D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Золотарева Н.Е.</w:t>
      </w:r>
    </w:p>
    <w:p w:rsidR="00F90A5F" w:rsidRDefault="00F90A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2-30-69</w:t>
      </w:r>
    </w:p>
    <w:p w:rsidR="00D73182" w:rsidRDefault="00D73182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sectPr w:rsidR="00D73182" w:rsidSect="001F6EF6">
      <w:headerReference w:type="default" r:id="rId7"/>
      <w:pgSz w:w="12240" w:h="15840"/>
      <w:pgMar w:top="851" w:right="851" w:bottom="851" w:left="1418" w:header="709" w:footer="709" w:gutter="0"/>
      <w:cols w:space="709" w:equalWidth="0">
        <w:col w:w="982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299" w:rsidRDefault="00502299">
      <w:r>
        <w:separator/>
      </w:r>
    </w:p>
  </w:endnote>
  <w:endnote w:type="continuationSeparator" w:id="1">
    <w:p w:rsidR="00502299" w:rsidRDefault="00502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299" w:rsidRDefault="00502299">
      <w:r>
        <w:separator/>
      </w:r>
    </w:p>
  </w:footnote>
  <w:footnote w:type="continuationSeparator" w:id="1">
    <w:p w:rsidR="00502299" w:rsidRDefault="00502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FBB" w:rsidRDefault="006A7FBB" w:rsidP="007510EF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24DF">
      <w:rPr>
        <w:rStyle w:val="ab"/>
        <w:noProof/>
      </w:rPr>
      <w:t>4</w:t>
    </w:r>
    <w:r>
      <w:rPr>
        <w:rStyle w:val="ab"/>
      </w:rPr>
      <w:fldChar w:fldCharType="end"/>
    </w:r>
  </w:p>
  <w:p w:rsidR="006A7FBB" w:rsidRDefault="006A7FBB" w:rsidP="00166FA7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17C50"/>
    <w:rsid w:val="00025862"/>
    <w:rsid w:val="0003083D"/>
    <w:rsid w:val="0004049D"/>
    <w:rsid w:val="00052C04"/>
    <w:rsid w:val="00055237"/>
    <w:rsid w:val="00086FBE"/>
    <w:rsid w:val="00092642"/>
    <w:rsid w:val="000926EB"/>
    <w:rsid w:val="0009274F"/>
    <w:rsid w:val="00096E5B"/>
    <w:rsid w:val="000A4661"/>
    <w:rsid w:val="000C0EF9"/>
    <w:rsid w:val="000C3DC7"/>
    <w:rsid w:val="000D0812"/>
    <w:rsid w:val="000D26C5"/>
    <w:rsid w:val="000D6DEC"/>
    <w:rsid w:val="000F71FE"/>
    <w:rsid w:val="0010067A"/>
    <w:rsid w:val="001020CE"/>
    <w:rsid w:val="00107811"/>
    <w:rsid w:val="001141B0"/>
    <w:rsid w:val="001179F5"/>
    <w:rsid w:val="00126C87"/>
    <w:rsid w:val="00144080"/>
    <w:rsid w:val="00155683"/>
    <w:rsid w:val="00166FA7"/>
    <w:rsid w:val="001A2561"/>
    <w:rsid w:val="001A4300"/>
    <w:rsid w:val="001A5561"/>
    <w:rsid w:val="001A73A5"/>
    <w:rsid w:val="001B190C"/>
    <w:rsid w:val="001B2E27"/>
    <w:rsid w:val="001B5E93"/>
    <w:rsid w:val="001B60CC"/>
    <w:rsid w:val="001C388C"/>
    <w:rsid w:val="001C75D3"/>
    <w:rsid w:val="001E656A"/>
    <w:rsid w:val="001F5521"/>
    <w:rsid w:val="001F6EF6"/>
    <w:rsid w:val="00201255"/>
    <w:rsid w:val="00204ADF"/>
    <w:rsid w:val="0020759C"/>
    <w:rsid w:val="00213170"/>
    <w:rsid w:val="00221B26"/>
    <w:rsid w:val="00230EC3"/>
    <w:rsid w:val="00260885"/>
    <w:rsid w:val="00277F01"/>
    <w:rsid w:val="0028388F"/>
    <w:rsid w:val="00291B2A"/>
    <w:rsid w:val="002A1FA2"/>
    <w:rsid w:val="002A3890"/>
    <w:rsid w:val="002B10FA"/>
    <w:rsid w:val="002B1B6A"/>
    <w:rsid w:val="002B3330"/>
    <w:rsid w:val="002D1B9E"/>
    <w:rsid w:val="002D429A"/>
    <w:rsid w:val="002E056C"/>
    <w:rsid w:val="002E1292"/>
    <w:rsid w:val="002F1713"/>
    <w:rsid w:val="002F5507"/>
    <w:rsid w:val="00304349"/>
    <w:rsid w:val="003112D6"/>
    <w:rsid w:val="00317B14"/>
    <w:rsid w:val="00320034"/>
    <w:rsid w:val="003369B6"/>
    <w:rsid w:val="00354287"/>
    <w:rsid w:val="00363C13"/>
    <w:rsid w:val="00364202"/>
    <w:rsid w:val="0037109D"/>
    <w:rsid w:val="003732F6"/>
    <w:rsid w:val="00376AAD"/>
    <w:rsid w:val="00381619"/>
    <w:rsid w:val="0039659E"/>
    <w:rsid w:val="003A0B16"/>
    <w:rsid w:val="003A10BF"/>
    <w:rsid w:val="003A70C8"/>
    <w:rsid w:val="003B0869"/>
    <w:rsid w:val="003B2F49"/>
    <w:rsid w:val="003B4616"/>
    <w:rsid w:val="003D49A7"/>
    <w:rsid w:val="003D4A10"/>
    <w:rsid w:val="003D6E2A"/>
    <w:rsid w:val="003D7565"/>
    <w:rsid w:val="00407442"/>
    <w:rsid w:val="0042059A"/>
    <w:rsid w:val="00420616"/>
    <w:rsid w:val="0042365D"/>
    <w:rsid w:val="00427C5E"/>
    <w:rsid w:val="00432BF6"/>
    <w:rsid w:val="00436031"/>
    <w:rsid w:val="004433E6"/>
    <w:rsid w:val="00444CAB"/>
    <w:rsid w:val="00445A20"/>
    <w:rsid w:val="00452D87"/>
    <w:rsid w:val="00457C77"/>
    <w:rsid w:val="0047443D"/>
    <w:rsid w:val="00475EF9"/>
    <w:rsid w:val="00485F05"/>
    <w:rsid w:val="00490304"/>
    <w:rsid w:val="004913F4"/>
    <w:rsid w:val="0049304D"/>
    <w:rsid w:val="00495C60"/>
    <w:rsid w:val="0049746F"/>
    <w:rsid w:val="00497852"/>
    <w:rsid w:val="004A1869"/>
    <w:rsid w:val="004A26ED"/>
    <w:rsid w:val="004B6292"/>
    <w:rsid w:val="004D7192"/>
    <w:rsid w:val="004E0B0B"/>
    <w:rsid w:val="004E3331"/>
    <w:rsid w:val="004F1869"/>
    <w:rsid w:val="004F7EF7"/>
    <w:rsid w:val="00502299"/>
    <w:rsid w:val="00510113"/>
    <w:rsid w:val="005173D3"/>
    <w:rsid w:val="005204E4"/>
    <w:rsid w:val="00521424"/>
    <w:rsid w:val="005254FC"/>
    <w:rsid w:val="00540B91"/>
    <w:rsid w:val="00540D45"/>
    <w:rsid w:val="00561B18"/>
    <w:rsid w:val="005632DF"/>
    <w:rsid w:val="0057607E"/>
    <w:rsid w:val="00576CA1"/>
    <w:rsid w:val="005B50A0"/>
    <w:rsid w:val="005B635A"/>
    <w:rsid w:val="005D2AB7"/>
    <w:rsid w:val="005D5580"/>
    <w:rsid w:val="005E6763"/>
    <w:rsid w:val="005E6A6D"/>
    <w:rsid w:val="00634154"/>
    <w:rsid w:val="00637D4F"/>
    <w:rsid w:val="00653538"/>
    <w:rsid w:val="0067782A"/>
    <w:rsid w:val="0069049A"/>
    <w:rsid w:val="006A4EB7"/>
    <w:rsid w:val="006A7FBB"/>
    <w:rsid w:val="006B3F65"/>
    <w:rsid w:val="006B62FB"/>
    <w:rsid w:val="006C12F3"/>
    <w:rsid w:val="006C1393"/>
    <w:rsid w:val="006C65E5"/>
    <w:rsid w:val="006D4375"/>
    <w:rsid w:val="006D7C27"/>
    <w:rsid w:val="006F05D3"/>
    <w:rsid w:val="007015CA"/>
    <w:rsid w:val="0070258F"/>
    <w:rsid w:val="0070485E"/>
    <w:rsid w:val="00710FB2"/>
    <w:rsid w:val="00726C89"/>
    <w:rsid w:val="0072709D"/>
    <w:rsid w:val="00745FD1"/>
    <w:rsid w:val="007462C4"/>
    <w:rsid w:val="007510EF"/>
    <w:rsid w:val="00763EB7"/>
    <w:rsid w:val="00780009"/>
    <w:rsid w:val="00790344"/>
    <w:rsid w:val="007916C9"/>
    <w:rsid w:val="00797B30"/>
    <w:rsid w:val="007B3060"/>
    <w:rsid w:val="007B3570"/>
    <w:rsid w:val="007C07D7"/>
    <w:rsid w:val="007C1C27"/>
    <w:rsid w:val="007C3A5F"/>
    <w:rsid w:val="007D13BE"/>
    <w:rsid w:val="007D5A0A"/>
    <w:rsid w:val="008075D5"/>
    <w:rsid w:val="00810DD9"/>
    <w:rsid w:val="00834E47"/>
    <w:rsid w:val="008360D1"/>
    <w:rsid w:val="00843859"/>
    <w:rsid w:val="0085143C"/>
    <w:rsid w:val="008550C8"/>
    <w:rsid w:val="008565C0"/>
    <w:rsid w:val="00857692"/>
    <w:rsid w:val="0086301C"/>
    <w:rsid w:val="008713F7"/>
    <w:rsid w:val="0089429B"/>
    <w:rsid w:val="00897306"/>
    <w:rsid w:val="008A2553"/>
    <w:rsid w:val="008A7180"/>
    <w:rsid w:val="008B21F8"/>
    <w:rsid w:val="008B46AE"/>
    <w:rsid w:val="008B773E"/>
    <w:rsid w:val="008D4F9A"/>
    <w:rsid w:val="008D5771"/>
    <w:rsid w:val="008E7AE7"/>
    <w:rsid w:val="00941149"/>
    <w:rsid w:val="00942E46"/>
    <w:rsid w:val="00944E52"/>
    <w:rsid w:val="00947EB0"/>
    <w:rsid w:val="00966EAC"/>
    <w:rsid w:val="00977788"/>
    <w:rsid w:val="00982E16"/>
    <w:rsid w:val="00984903"/>
    <w:rsid w:val="00993F78"/>
    <w:rsid w:val="0099701D"/>
    <w:rsid w:val="00997FE4"/>
    <w:rsid w:val="009B5B35"/>
    <w:rsid w:val="009C1728"/>
    <w:rsid w:val="009D24DF"/>
    <w:rsid w:val="009E71EB"/>
    <w:rsid w:val="00A049FB"/>
    <w:rsid w:val="00A100DF"/>
    <w:rsid w:val="00A11980"/>
    <w:rsid w:val="00A14DF9"/>
    <w:rsid w:val="00A23D5C"/>
    <w:rsid w:val="00A26C30"/>
    <w:rsid w:val="00A319EE"/>
    <w:rsid w:val="00A45F10"/>
    <w:rsid w:val="00A61712"/>
    <w:rsid w:val="00A62B32"/>
    <w:rsid w:val="00A645D4"/>
    <w:rsid w:val="00A72E79"/>
    <w:rsid w:val="00A75DAE"/>
    <w:rsid w:val="00A76CFB"/>
    <w:rsid w:val="00A84A23"/>
    <w:rsid w:val="00A9399C"/>
    <w:rsid w:val="00A9504D"/>
    <w:rsid w:val="00AB0B73"/>
    <w:rsid w:val="00AB43BA"/>
    <w:rsid w:val="00AC3C28"/>
    <w:rsid w:val="00AC5622"/>
    <w:rsid w:val="00AD04D4"/>
    <w:rsid w:val="00AD53BA"/>
    <w:rsid w:val="00AE355E"/>
    <w:rsid w:val="00AE5EC2"/>
    <w:rsid w:val="00B176C7"/>
    <w:rsid w:val="00B42FB8"/>
    <w:rsid w:val="00B57710"/>
    <w:rsid w:val="00B613E5"/>
    <w:rsid w:val="00B826A0"/>
    <w:rsid w:val="00B9381F"/>
    <w:rsid w:val="00BA184D"/>
    <w:rsid w:val="00BA31F1"/>
    <w:rsid w:val="00C139A1"/>
    <w:rsid w:val="00C22795"/>
    <w:rsid w:val="00C25669"/>
    <w:rsid w:val="00C34568"/>
    <w:rsid w:val="00C4100C"/>
    <w:rsid w:val="00C525CC"/>
    <w:rsid w:val="00C604B3"/>
    <w:rsid w:val="00C84FFE"/>
    <w:rsid w:val="00C86759"/>
    <w:rsid w:val="00CA27BB"/>
    <w:rsid w:val="00CA2F91"/>
    <w:rsid w:val="00CA4F49"/>
    <w:rsid w:val="00CA6718"/>
    <w:rsid w:val="00CA69C3"/>
    <w:rsid w:val="00CB165C"/>
    <w:rsid w:val="00CC1426"/>
    <w:rsid w:val="00CC5D79"/>
    <w:rsid w:val="00CE51E7"/>
    <w:rsid w:val="00CE6840"/>
    <w:rsid w:val="00D029F2"/>
    <w:rsid w:val="00D06E35"/>
    <w:rsid w:val="00D103B7"/>
    <w:rsid w:val="00D13696"/>
    <w:rsid w:val="00D2395A"/>
    <w:rsid w:val="00D25143"/>
    <w:rsid w:val="00D25EEE"/>
    <w:rsid w:val="00D276F6"/>
    <w:rsid w:val="00D452C8"/>
    <w:rsid w:val="00D52BAB"/>
    <w:rsid w:val="00D57E02"/>
    <w:rsid w:val="00D638CD"/>
    <w:rsid w:val="00D653E2"/>
    <w:rsid w:val="00D73182"/>
    <w:rsid w:val="00D8041C"/>
    <w:rsid w:val="00D8408E"/>
    <w:rsid w:val="00DA3703"/>
    <w:rsid w:val="00DD0152"/>
    <w:rsid w:val="00DD0D05"/>
    <w:rsid w:val="00DE1FDD"/>
    <w:rsid w:val="00DE69CA"/>
    <w:rsid w:val="00DF2A5C"/>
    <w:rsid w:val="00DF6E64"/>
    <w:rsid w:val="00E1511D"/>
    <w:rsid w:val="00E17C86"/>
    <w:rsid w:val="00E2594B"/>
    <w:rsid w:val="00E3774C"/>
    <w:rsid w:val="00E423A7"/>
    <w:rsid w:val="00E45405"/>
    <w:rsid w:val="00E45BF6"/>
    <w:rsid w:val="00E61259"/>
    <w:rsid w:val="00E6761A"/>
    <w:rsid w:val="00E7368D"/>
    <w:rsid w:val="00E9106B"/>
    <w:rsid w:val="00E93841"/>
    <w:rsid w:val="00EB169C"/>
    <w:rsid w:val="00EB380E"/>
    <w:rsid w:val="00EC53FE"/>
    <w:rsid w:val="00EE055F"/>
    <w:rsid w:val="00EF12B2"/>
    <w:rsid w:val="00EF5D60"/>
    <w:rsid w:val="00F00EC6"/>
    <w:rsid w:val="00F01A7E"/>
    <w:rsid w:val="00F05422"/>
    <w:rsid w:val="00F13DED"/>
    <w:rsid w:val="00F27106"/>
    <w:rsid w:val="00F27A5D"/>
    <w:rsid w:val="00F324BD"/>
    <w:rsid w:val="00F333D9"/>
    <w:rsid w:val="00F6646E"/>
    <w:rsid w:val="00F7797F"/>
    <w:rsid w:val="00F82665"/>
    <w:rsid w:val="00F90824"/>
    <w:rsid w:val="00F90A5F"/>
    <w:rsid w:val="00F960C4"/>
    <w:rsid w:val="00FB484A"/>
    <w:rsid w:val="00FC2587"/>
    <w:rsid w:val="00FD6F48"/>
    <w:rsid w:val="00FF30AC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5840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2</cp:revision>
  <cp:lastPrinted>2020-10-13T13:38:00Z</cp:lastPrinted>
  <dcterms:created xsi:type="dcterms:W3CDTF">2021-04-23T11:18:00Z</dcterms:created>
  <dcterms:modified xsi:type="dcterms:W3CDTF">2021-04-23T11:18:00Z</dcterms:modified>
</cp:coreProperties>
</file>