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1" w:rsidRPr="005C245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5C245E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4C58A1" w:rsidRPr="005C245E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E86BD1" w:rsidRPr="005C245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5C245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E86BD1" w:rsidTr="00D9030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86BD1" w:rsidRPr="00D90302" w:rsidRDefault="00D90302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02">
              <w:rPr>
                <w:rFonts w:ascii="Times New Roman" w:hAnsi="Times New Roman" w:cs="Times New Roman"/>
                <w:sz w:val="28"/>
                <w:szCs w:val="28"/>
              </w:rPr>
              <w:t>От 26.04.2022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D90302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150</w:t>
            </w:r>
          </w:p>
        </w:tc>
      </w:tr>
    </w:tbl>
    <w:p w:rsidR="00E86BD1" w:rsidRDefault="00E86BD1">
      <w:pPr>
        <w:rPr>
          <w:rFonts w:ascii="Times New Roman" w:hAnsi="Times New Roman" w:cs="Times New Roman"/>
          <w:sz w:val="28"/>
          <w:szCs w:val="28"/>
        </w:rPr>
      </w:pPr>
    </w:p>
    <w:p w:rsidR="00E86BD1" w:rsidRDefault="00DF4634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главных распорядителей</w:t>
      </w:r>
    </w:p>
    <w:p w:rsidR="00DF4634" w:rsidRDefault="00DF4634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средств администрации городского</w:t>
      </w:r>
    </w:p>
    <w:p w:rsidR="00DF4634" w:rsidRDefault="00DF4634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город Бор Нижегородской области</w:t>
      </w:r>
    </w:p>
    <w:p w:rsidR="0001290D" w:rsidRDefault="0001290D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заказчиками (муниципальными заказчиками)</w:t>
      </w:r>
    </w:p>
    <w:p w:rsidR="0001290D" w:rsidRDefault="0001290D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по принятию решения </w:t>
      </w:r>
    </w:p>
    <w:p w:rsidR="0001290D" w:rsidRDefault="0001290D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существенные условия контракта</w:t>
      </w:r>
    </w:p>
    <w:p w:rsidR="00DF4634" w:rsidRDefault="00DF4634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4634" w:rsidRPr="00DF4634" w:rsidRDefault="00DF4634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392" w:type="dxa"/>
        <w:tblLayout w:type="fixed"/>
        <w:tblLook w:val="0000"/>
      </w:tblPr>
      <w:tblGrid>
        <w:gridCol w:w="9497"/>
      </w:tblGrid>
      <w:tr w:rsidR="00E86BD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40BAF" w:rsidRPr="00740BAF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hyperlink r:id="rId5" w:history="1">
              <w:r w:rsidRPr="00740BAF">
                <w:rPr>
                  <w:rFonts w:ascii="Times New Roman" w:hAnsi="Times New Roman" w:cs="Times New Roman"/>
                  <w:sz w:val="28"/>
                  <w:szCs w:val="28"/>
                </w:rPr>
                <w:t>части 65.1 статьи 112</w:t>
              </w:r>
            </w:hyperlink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44-ФЗ):</w:t>
            </w:r>
          </w:p>
          <w:p w:rsidR="00740BAF" w:rsidRPr="00740BAF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1. Создать комиссию по принятию решения о </w:t>
            </w:r>
            <w:proofErr w:type="gramStart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существенные условия контракта (далее - комиссия).</w:t>
            </w:r>
          </w:p>
          <w:p w:rsidR="00740BAF" w:rsidRPr="00740BAF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2. Утвердить </w:t>
            </w:r>
            <w:hyperlink w:anchor="P36" w:history="1">
              <w:r w:rsidRPr="00740BAF">
                <w:rPr>
                  <w:rFonts w:ascii="Times New Roman" w:hAnsi="Times New Roman" w:cs="Times New Roman"/>
                  <w:sz w:val="28"/>
                  <w:szCs w:val="28"/>
                </w:rPr>
                <w:t>состав</w:t>
              </w:r>
            </w:hyperlink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в соответствии с приложением к настоящему распоряжению.</w:t>
            </w:r>
          </w:p>
          <w:p w:rsidR="00740BAF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Установить, что в случае, если при исполнении контракта, заключенного в рамках </w:t>
            </w:r>
            <w:hyperlink r:id="rId6" w:history="1">
              <w:r w:rsidRPr="00740BAF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N 44-ФЗ до 1 января 2023 года, возникли независящие от сторон контракта обстоятельства, влекущие невозможность его исполнения, главные распорядители бюджетных средств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 Нижегородской области</w:t>
            </w: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обращения, поступившего от заказчика (муниципального заказчика) и поставщика (подрядчика, исполнителя), подготавливают в срок не более 2 (двух) рабочих</w:t>
            </w:r>
            <w:proofErr w:type="gramEnd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дней с момента получения такого обращения заключение о возможности внесения изменений в существенные условия контракта. Вопрос о возможности внесения изменений в существенные условия контракта выносится на рассмотрение комиссии.</w:t>
            </w:r>
          </w:p>
          <w:p w:rsidR="00740BAF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Предусмотренное настоящим пунктом изменение осуществляется с соблюдением положений </w:t>
            </w:r>
            <w:hyperlink r:id="rId7" w:history="1">
              <w:r w:rsidRPr="00740BAF">
                <w:rPr>
                  <w:rFonts w:ascii="Times New Roman" w:hAnsi="Times New Roman" w:cs="Times New Roman"/>
                  <w:sz w:val="28"/>
                  <w:szCs w:val="28"/>
                </w:rPr>
                <w:t>частей 1.3</w:t>
              </w:r>
            </w:hyperlink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8" w:history="1">
              <w:r w:rsidRPr="00740BAF">
                <w:rPr>
                  <w:rFonts w:ascii="Times New Roman" w:hAnsi="Times New Roman" w:cs="Times New Roman"/>
                  <w:sz w:val="28"/>
                  <w:szCs w:val="28"/>
                </w:rPr>
                <w:t>1.6 статьи 95</w:t>
              </w:r>
            </w:hyperlink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</w:t>
            </w:r>
          </w:p>
          <w:p w:rsidR="00740BAF" w:rsidRDefault="00740BAF" w:rsidP="004120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услуг для обеспечения государственных и муниципальных нужд" на </w:t>
            </w:r>
            <w:proofErr w:type="gramStart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Нижегородской области.</w:t>
            </w:r>
          </w:p>
          <w:p w:rsidR="00740BAF" w:rsidRPr="00740BAF" w:rsidRDefault="00740BAF" w:rsidP="0041204D">
            <w:pPr>
              <w:pStyle w:val="ConsPlusNormal"/>
              <w:spacing w:before="220"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4. Установить, что главные распорядители бюджетных средств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 Нижегородской области</w:t>
            </w: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созыв комиссии в срок не более 2 (двух) рабочих дней со дня подготовки заключения, путем письменного направления приглашения на участие в заседании всех членов комиссии.</w:t>
            </w:r>
          </w:p>
          <w:p w:rsidR="00740BAF" w:rsidRDefault="00740BAF" w:rsidP="0041204D">
            <w:pPr>
              <w:pStyle w:val="ConsPlusNormal"/>
              <w:spacing w:before="220"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>5. Установить, что решение комиссии оформляется протоколом, который содержит решение комиссии о возможности согласования или невозможности внесения изменений в существенные условия контракта. Комиссия правомочна осуществлять свои функции, если в заседании комиссии участвует не менее чем пятьдесят процентов общего числа ее членов. Решение комиссии принимается простым большинством голосов от числа присутствующих на заседании членов комиссии.</w:t>
            </w:r>
          </w:p>
          <w:p w:rsidR="00740BAF" w:rsidRPr="00740BAF" w:rsidRDefault="00740BAF" w:rsidP="0041204D">
            <w:pPr>
              <w:pStyle w:val="ConsPlusNormal"/>
              <w:spacing w:before="220"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6. Принятие комиссией положительного решения является основанием для подготовки главными распорядителями бюджетных средств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 Нижегородской области</w:t>
            </w:r>
            <w:r w:rsidRPr="00740BAF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муниципального правового акта о возможности заключения с заказчиками (муниципальными заказчиками) дополнительного соглашения к контракту о внесении изменений в существенные условия контракта.</w:t>
            </w:r>
          </w:p>
          <w:p w:rsidR="00740BAF" w:rsidRPr="00411D70" w:rsidRDefault="00740BAF" w:rsidP="0041204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11D70">
              <w:rPr>
                <w:rFonts w:ascii="Times New Roman" w:hAnsi="Times New Roman" w:cs="Times New Roman"/>
                <w:sz w:val="28"/>
                <w:szCs w:val="28"/>
              </w:rPr>
              <w:t xml:space="preserve"> Общему отделу администрации городского округа город Бор (</w:t>
            </w:r>
            <w:proofErr w:type="spellStart"/>
            <w:r w:rsidRPr="00411D70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411D7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размещение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  <w:r w:rsidRPr="00411D70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proofErr w:type="spellStart"/>
            <w:r w:rsidRPr="00411D70">
              <w:rPr>
                <w:rFonts w:ascii="Times New Roman" w:hAnsi="Times New Roman" w:cs="Times New Roman"/>
                <w:sz w:val="28"/>
                <w:szCs w:val="28"/>
              </w:rPr>
              <w:t>www.borcity.ru</w:t>
            </w:r>
            <w:proofErr w:type="spellEnd"/>
            <w:r w:rsidRPr="00411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BAF" w:rsidRPr="00740BAF" w:rsidRDefault="00740BAF" w:rsidP="00740BA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5BD" w:rsidRPr="00E6572A" w:rsidRDefault="00F505BD" w:rsidP="00740B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BD1" w:rsidRDefault="00E86BD1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72A" w:rsidRDefault="0001290D" w:rsidP="00807A5F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F505B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07A5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А.Г.Ворошилов</w:t>
      </w:r>
    </w:p>
    <w:p w:rsidR="00E86BD1" w:rsidRDefault="00E86BD1">
      <w:pPr>
        <w:rPr>
          <w:rFonts w:ascii="Times New Roman" w:hAnsi="Times New Roman" w:cs="Times New Roman"/>
          <w:sz w:val="28"/>
          <w:szCs w:val="28"/>
        </w:rPr>
      </w:pPr>
    </w:p>
    <w:p w:rsidR="005C245E" w:rsidRDefault="005C245E">
      <w:pPr>
        <w:rPr>
          <w:rFonts w:ascii="Times New Roman" w:hAnsi="Times New Roman" w:cs="Times New Roman"/>
          <w:sz w:val="28"/>
          <w:szCs w:val="28"/>
        </w:rPr>
      </w:pPr>
    </w:p>
    <w:p w:rsidR="00740BAF" w:rsidRDefault="00740BAF">
      <w:pPr>
        <w:rPr>
          <w:rFonts w:ascii="Times New Roman" w:hAnsi="Times New Roman" w:cs="Times New Roman"/>
          <w:sz w:val="28"/>
          <w:szCs w:val="28"/>
        </w:rPr>
      </w:pPr>
    </w:p>
    <w:p w:rsidR="00D90302" w:rsidRDefault="00D90302">
      <w:pPr>
        <w:rPr>
          <w:rFonts w:ascii="Times New Roman" w:hAnsi="Times New Roman" w:cs="Times New Roman"/>
          <w:sz w:val="28"/>
          <w:szCs w:val="28"/>
        </w:rPr>
      </w:pPr>
    </w:p>
    <w:p w:rsidR="00D90302" w:rsidRDefault="00D90302">
      <w:pPr>
        <w:rPr>
          <w:rFonts w:ascii="Times New Roman" w:hAnsi="Times New Roman" w:cs="Times New Roman"/>
          <w:sz w:val="28"/>
          <w:szCs w:val="28"/>
        </w:rPr>
      </w:pPr>
    </w:p>
    <w:p w:rsidR="00D90302" w:rsidRDefault="00D90302">
      <w:pPr>
        <w:rPr>
          <w:rFonts w:ascii="Times New Roman" w:hAnsi="Times New Roman" w:cs="Times New Roman"/>
          <w:sz w:val="28"/>
          <w:szCs w:val="28"/>
        </w:rPr>
      </w:pPr>
    </w:p>
    <w:p w:rsidR="00D90302" w:rsidRDefault="00D9030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8"/>
      </w:tblGrid>
      <w:tr w:rsidR="00F505BD" w:rsidRPr="00E6572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F505BD" w:rsidRPr="00E6572A" w:rsidRDefault="00F505BD" w:rsidP="00927D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Е.Ф.Кабатина</w:t>
            </w:r>
            <w:proofErr w:type="spellEnd"/>
          </w:p>
        </w:tc>
      </w:tr>
      <w:tr w:rsidR="00F505BD" w:rsidRPr="00E6572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F505BD" w:rsidRPr="00E6572A" w:rsidRDefault="00F505BD" w:rsidP="00927D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3-71-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</w:tbl>
    <w:p w:rsidR="0041204D" w:rsidRDefault="0041204D" w:rsidP="007F2B02">
      <w:pPr>
        <w:pStyle w:val="a5"/>
        <w:jc w:val="right"/>
        <w:rPr>
          <w:rFonts w:ascii="Times New Roman" w:hAnsi="Times New Roman" w:cs="Times New Roman"/>
        </w:rPr>
      </w:pPr>
    </w:p>
    <w:p w:rsidR="0041204D" w:rsidRDefault="0041204D" w:rsidP="007F2B02">
      <w:pPr>
        <w:pStyle w:val="a5"/>
        <w:jc w:val="right"/>
        <w:rPr>
          <w:rFonts w:ascii="Times New Roman" w:hAnsi="Times New Roman" w:cs="Times New Roman"/>
        </w:rPr>
      </w:pPr>
    </w:p>
    <w:p w:rsidR="0041204D" w:rsidRDefault="0041204D" w:rsidP="007F2B02">
      <w:pPr>
        <w:pStyle w:val="a5"/>
        <w:jc w:val="right"/>
        <w:rPr>
          <w:rFonts w:ascii="Times New Roman" w:hAnsi="Times New Roman" w:cs="Times New Roman"/>
        </w:rPr>
      </w:pPr>
    </w:p>
    <w:p w:rsidR="007F2B02" w:rsidRPr="00483B4E" w:rsidRDefault="007F2B02" w:rsidP="007F2B02">
      <w:pPr>
        <w:pStyle w:val="a5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lastRenderedPageBreak/>
        <w:t xml:space="preserve">Приложение </w:t>
      </w:r>
    </w:p>
    <w:p w:rsidR="007F2B02" w:rsidRPr="00483B4E" w:rsidRDefault="007F2B02" w:rsidP="007F2B02">
      <w:pPr>
        <w:pStyle w:val="a5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t xml:space="preserve">к распоряжению администрации </w:t>
      </w:r>
    </w:p>
    <w:p w:rsidR="007F2B02" w:rsidRPr="00483B4E" w:rsidRDefault="007F2B02" w:rsidP="007F2B02">
      <w:pPr>
        <w:pStyle w:val="a5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t xml:space="preserve">городского округа г. Бор </w:t>
      </w:r>
    </w:p>
    <w:p w:rsidR="007F2B02" w:rsidRPr="004A5CA4" w:rsidRDefault="00D90302" w:rsidP="007F2B0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26.04.2022 № 150</w:t>
      </w:r>
    </w:p>
    <w:p w:rsidR="007F2B02" w:rsidRDefault="007F2B02" w:rsidP="007F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02" w:rsidRDefault="007F2B02" w:rsidP="007F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:rsidR="007F2B02" w:rsidRPr="00740BAF" w:rsidRDefault="007F2B02" w:rsidP="007F2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0BAF">
        <w:rPr>
          <w:rFonts w:ascii="Times New Roman" w:hAnsi="Times New Roman" w:cs="Times New Roman"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Алексей Викторович </w:t>
      </w:r>
      <w:r w:rsidRPr="00740BAF">
        <w:rPr>
          <w:rFonts w:ascii="Times New Roman" w:hAnsi="Times New Roman" w:cs="Times New Roman"/>
          <w:sz w:val="28"/>
          <w:szCs w:val="28"/>
        </w:rPr>
        <w:t>Боровский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BA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Валерьевич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</w:t>
      </w:r>
      <w:r>
        <w:rPr>
          <w:color w:val="000000"/>
          <w:shd w:val="clear" w:color="auto" w:fill="FFFFFF"/>
        </w:rPr>
        <w:t> </w:t>
      </w:r>
      <w:r w:rsidRPr="00617757"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F2B02" w:rsidRPr="00740BAF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Петровна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и.о. директора департамента финансов;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57">
        <w:rPr>
          <w:rFonts w:ascii="Times New Roman" w:hAnsi="Times New Roman" w:cs="Times New Roman"/>
          <w:sz w:val="28"/>
          <w:szCs w:val="28"/>
        </w:rPr>
        <w:t>Супернак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Марианна Вячеславовна  - заведующий отделом экономики и инвестиций;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57">
        <w:rPr>
          <w:rFonts w:ascii="Times New Roman" w:hAnsi="Times New Roman" w:cs="Times New Roman"/>
          <w:sz w:val="28"/>
          <w:szCs w:val="28"/>
        </w:rPr>
        <w:t>Гельфанова</w:t>
      </w:r>
      <w:proofErr w:type="spellEnd"/>
      <w:r w:rsidRPr="00617757">
        <w:rPr>
          <w:rFonts w:ascii="Times New Roman" w:hAnsi="Times New Roman" w:cs="Times New Roman"/>
          <w:sz w:val="28"/>
          <w:szCs w:val="28"/>
        </w:rPr>
        <w:t xml:space="preserve">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юридическим отделом;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Вахнина Ольга Владимировна - н</w:t>
      </w:r>
      <w:r w:rsidRPr="00617757">
        <w:rPr>
          <w:rFonts w:ascii="Times New Roman" w:hAnsi="Times New Roman" w:cs="Times New Roman"/>
          <w:sz w:val="28"/>
          <w:szCs w:val="28"/>
        </w:rPr>
        <w:t>ачальник управлен</w:t>
      </w:r>
      <w:r>
        <w:rPr>
          <w:rFonts w:ascii="Times New Roman" w:hAnsi="Times New Roman" w:cs="Times New Roman"/>
          <w:sz w:val="28"/>
          <w:szCs w:val="28"/>
        </w:rPr>
        <w:t xml:space="preserve">ия учета и отчетности – главный </w:t>
      </w:r>
      <w:r w:rsidRPr="00617757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77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Федоров Александр Викторович – депутат Совета депутатов, председатель постоянного комитета Совета депутатов по бюджетной политики налогам и тарифам; (по согласованию)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Владимирович- з</w:t>
      </w:r>
      <w:r w:rsidRPr="001E7365">
        <w:rPr>
          <w:rFonts w:ascii="Times New Roman" w:hAnsi="Times New Roman" w:cs="Times New Roman"/>
          <w:sz w:val="28"/>
          <w:szCs w:val="28"/>
        </w:rPr>
        <w:t>аведующий отделом муниципального заказа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B02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7F2B02" w:rsidRPr="001E7365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Устименко Наталья Николаевна – консультант-юрист </w:t>
      </w:r>
      <w:r w:rsidRPr="001E736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7365">
        <w:rPr>
          <w:rFonts w:ascii="Times New Roman" w:hAnsi="Times New Roman" w:cs="Times New Roman"/>
          <w:sz w:val="28"/>
          <w:szCs w:val="28"/>
        </w:rPr>
        <w:t xml:space="preserve"> муниципального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B02" w:rsidRPr="00740BAF" w:rsidRDefault="007F2B02" w:rsidP="007F2B0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F2B02" w:rsidRPr="00740BAF" w:rsidSect="0041204D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2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1290D"/>
    <w:rsid w:val="00051C34"/>
    <w:rsid w:val="00066A79"/>
    <w:rsid w:val="000C4440"/>
    <w:rsid w:val="000F5828"/>
    <w:rsid w:val="001224F8"/>
    <w:rsid w:val="001E7365"/>
    <w:rsid w:val="00226873"/>
    <w:rsid w:val="002332B4"/>
    <w:rsid w:val="00263C58"/>
    <w:rsid w:val="00267B24"/>
    <w:rsid w:val="002932EE"/>
    <w:rsid w:val="00302D91"/>
    <w:rsid w:val="003568B2"/>
    <w:rsid w:val="0040019B"/>
    <w:rsid w:val="00411D70"/>
    <w:rsid w:val="0041204D"/>
    <w:rsid w:val="00451151"/>
    <w:rsid w:val="00483B4E"/>
    <w:rsid w:val="004A5CA4"/>
    <w:rsid w:val="004B6F7E"/>
    <w:rsid w:val="004C58A1"/>
    <w:rsid w:val="004C6D37"/>
    <w:rsid w:val="005171A3"/>
    <w:rsid w:val="00527713"/>
    <w:rsid w:val="00570385"/>
    <w:rsid w:val="005C245E"/>
    <w:rsid w:val="00617757"/>
    <w:rsid w:val="006766F5"/>
    <w:rsid w:val="00740BAF"/>
    <w:rsid w:val="0076007B"/>
    <w:rsid w:val="007F2B02"/>
    <w:rsid w:val="00807A5F"/>
    <w:rsid w:val="00811076"/>
    <w:rsid w:val="008B091B"/>
    <w:rsid w:val="0092327C"/>
    <w:rsid w:val="00927D39"/>
    <w:rsid w:val="0095111B"/>
    <w:rsid w:val="009B03E9"/>
    <w:rsid w:val="00A41114"/>
    <w:rsid w:val="00AD1C2F"/>
    <w:rsid w:val="00BA63C7"/>
    <w:rsid w:val="00C03AE3"/>
    <w:rsid w:val="00C64788"/>
    <w:rsid w:val="00CA6623"/>
    <w:rsid w:val="00D00513"/>
    <w:rsid w:val="00D21102"/>
    <w:rsid w:val="00D70D67"/>
    <w:rsid w:val="00D90302"/>
    <w:rsid w:val="00DC0154"/>
    <w:rsid w:val="00DF4634"/>
    <w:rsid w:val="00E56E5F"/>
    <w:rsid w:val="00E62FA4"/>
    <w:rsid w:val="00E6572A"/>
    <w:rsid w:val="00E85750"/>
    <w:rsid w:val="00E86BD1"/>
    <w:rsid w:val="00EB5B2E"/>
    <w:rsid w:val="00F505BD"/>
    <w:rsid w:val="00F52823"/>
    <w:rsid w:val="00F529A7"/>
    <w:rsid w:val="00FE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478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647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rsid w:val="00C64788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11">
    <w:name w:val="Знак1"/>
    <w:basedOn w:val="a"/>
    <w:link w:val="a0"/>
    <w:uiPriority w:val="99"/>
    <w:rsid w:val="00C6478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Нормальный"/>
    <w:uiPriority w:val="99"/>
    <w:rsid w:val="00483B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740BA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B758FE0A9DDC3D87A4E115131206AE6BD88A460D480DDD419FBA4BBB25BDC57CC5F94E9512763A3C8E14FCFC2E6FB5872175155D2nDc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6B758FE0A9DDC3D87A4E115131206AE6BD88A460D480DDD419FBA4BBB25BDC57CC5F94E95F2A63A3C8E14FCFC2E6FB5872175155D2nDc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6B758FE0A9DDC3D87A4E115131206AE6BD88A460D480DDD419FBA4BBB25BDC45CC079BE25D3D68F387A71AC0nCc2G" TargetMode="External"/><Relationship Id="rId5" Type="http://schemas.openxmlformats.org/officeDocument/2006/relationships/hyperlink" Target="consultantplus://offline/ref=9E9BD688A6FC899AA50C1B189FE78BADF86A82ADE1B2B2622E68A64DCBD484B70975F95C00603299104A26154B83C252E98D45E1D66652m3c0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4212</Characters>
  <Application>Microsoft Office Word</Application>
  <DocSecurity>0</DocSecurity>
  <Lines>35</Lines>
  <Paragraphs>9</Paragraphs>
  <ScaleCrop>false</ScaleCrop>
  <Company>а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2022-04-26T11:10:00Z</cp:lastPrinted>
  <dcterms:created xsi:type="dcterms:W3CDTF">2022-04-27T09:43:00Z</dcterms:created>
  <dcterms:modified xsi:type="dcterms:W3CDTF">2022-04-27T09:43:00Z</dcterms:modified>
</cp:coreProperties>
</file>